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7"/>
        <w:gridCol w:w="3787"/>
      </w:tblGrid>
      <w:tr w:rsidR="004C1EB0" w14:paraId="1B0E32C3" w14:textId="77777777" w:rsidTr="004C1EB0">
        <w:tc>
          <w:tcPr>
            <w:tcW w:w="6629" w:type="dxa"/>
            <w:vAlign w:val="bottom"/>
          </w:tcPr>
          <w:p w14:paraId="65C9CACF" w14:textId="77777777" w:rsidR="004C1EB0" w:rsidRPr="004C1EB0" w:rsidRDefault="004B3AC6" w:rsidP="009F5BE4">
            <w:pPr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Social Prescribing Link Worker</w:t>
            </w:r>
          </w:p>
        </w:tc>
        <w:tc>
          <w:tcPr>
            <w:tcW w:w="3791" w:type="dxa"/>
          </w:tcPr>
          <w:p w14:paraId="09765100" w14:textId="77777777" w:rsidR="004C1EB0" w:rsidRDefault="004C1EB0" w:rsidP="004C1EB0">
            <w:pPr>
              <w:jc w:val="right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D64FC16" wp14:editId="0627AE77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BE1A71" w14:textId="77777777" w:rsidR="00101D42" w:rsidRPr="004C1EB0" w:rsidRDefault="00101D42" w:rsidP="004C1EB0">
      <w:pPr>
        <w:pStyle w:val="NoSpacing"/>
        <w:rPr>
          <w:rFonts w:asciiTheme="majorHAnsi" w:hAnsiTheme="majorHAnsi"/>
          <w:sz w:val="32"/>
        </w:rPr>
      </w:pPr>
    </w:p>
    <w:p w14:paraId="3A090BFC" w14:textId="77777777" w:rsidR="00101D42" w:rsidRDefault="004C1EB0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 w:rsidRPr="004C1EB0">
        <w:rPr>
          <w:rFonts w:ascii="Cambria" w:hAnsi="Cambria"/>
          <w:b/>
          <w:sz w:val="32"/>
          <w:szCs w:val="96"/>
          <w:u w:val="single"/>
        </w:rPr>
        <w:t>Job Description</w:t>
      </w:r>
    </w:p>
    <w:p w14:paraId="081D9F76" w14:textId="77777777" w:rsidR="00E51DF8" w:rsidRPr="004C1EB0" w:rsidRDefault="00E51DF8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5"/>
        <w:gridCol w:w="7429"/>
      </w:tblGrid>
      <w:tr w:rsidR="0035491B" w14:paraId="57AD631F" w14:textId="77777777" w:rsidTr="009F5BE4">
        <w:trPr>
          <w:trHeight w:val="454"/>
        </w:trPr>
        <w:tc>
          <w:tcPr>
            <w:tcW w:w="10420" w:type="dxa"/>
            <w:gridSpan w:val="2"/>
          </w:tcPr>
          <w:p w14:paraId="737B2E55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1. POST DETAILS</w:t>
            </w:r>
          </w:p>
        </w:tc>
      </w:tr>
      <w:tr w:rsidR="004C1EB0" w:rsidRPr="00BB6AA8" w14:paraId="02D5FB9B" w14:textId="77777777" w:rsidTr="009F5BE4">
        <w:trPr>
          <w:trHeight w:val="454"/>
        </w:trPr>
        <w:tc>
          <w:tcPr>
            <w:tcW w:w="2802" w:type="dxa"/>
          </w:tcPr>
          <w:p w14:paraId="31C07A00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Business Centre:</w:t>
            </w:r>
          </w:p>
        </w:tc>
        <w:tc>
          <w:tcPr>
            <w:tcW w:w="7618" w:type="dxa"/>
          </w:tcPr>
          <w:p w14:paraId="40150E64" w14:textId="77777777" w:rsidR="004C1EB0" w:rsidRPr="00BB6AA8" w:rsidRDefault="00A45974" w:rsidP="00A4597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Community Services</w:t>
            </w:r>
          </w:p>
        </w:tc>
      </w:tr>
      <w:tr w:rsidR="00790899" w:rsidRPr="00BB6AA8" w14:paraId="57B61136" w14:textId="77777777" w:rsidTr="009F5BE4">
        <w:trPr>
          <w:trHeight w:val="454"/>
        </w:trPr>
        <w:tc>
          <w:tcPr>
            <w:tcW w:w="2802" w:type="dxa"/>
          </w:tcPr>
          <w:p w14:paraId="662224A6" w14:textId="77777777" w:rsidR="00790899" w:rsidRPr="00BB6AA8" w:rsidRDefault="00790899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Division:</w:t>
            </w:r>
          </w:p>
        </w:tc>
        <w:tc>
          <w:tcPr>
            <w:tcW w:w="7618" w:type="dxa"/>
          </w:tcPr>
          <w:p w14:paraId="46E4EF1D" w14:textId="77777777" w:rsidR="00790899" w:rsidRDefault="00A45974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Community Services</w:t>
            </w:r>
          </w:p>
        </w:tc>
      </w:tr>
      <w:tr w:rsidR="004C1EB0" w:rsidRPr="00BB6AA8" w14:paraId="3827D697" w14:textId="77777777" w:rsidTr="009F5BE4">
        <w:trPr>
          <w:trHeight w:val="454"/>
        </w:trPr>
        <w:tc>
          <w:tcPr>
            <w:tcW w:w="2802" w:type="dxa"/>
          </w:tcPr>
          <w:p w14:paraId="7EBF311C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Post Number:</w:t>
            </w:r>
          </w:p>
        </w:tc>
        <w:tc>
          <w:tcPr>
            <w:tcW w:w="7618" w:type="dxa"/>
          </w:tcPr>
          <w:p w14:paraId="07CBFFFA" w14:textId="36C0D964" w:rsidR="004C1EB0" w:rsidRPr="00BB6AA8" w:rsidRDefault="005054FA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EO418</w:t>
            </w:r>
          </w:p>
        </w:tc>
      </w:tr>
      <w:tr w:rsidR="004F42E6" w:rsidRPr="00BB6AA8" w14:paraId="65F2774D" w14:textId="77777777" w:rsidTr="009F5BE4">
        <w:trPr>
          <w:trHeight w:val="454"/>
        </w:trPr>
        <w:tc>
          <w:tcPr>
            <w:tcW w:w="2802" w:type="dxa"/>
          </w:tcPr>
          <w:p w14:paraId="6B601E3E" w14:textId="77777777" w:rsidR="004F42E6" w:rsidRPr="00BB6AA8" w:rsidRDefault="004F42E6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Working Hours:</w:t>
            </w:r>
          </w:p>
        </w:tc>
        <w:tc>
          <w:tcPr>
            <w:tcW w:w="7618" w:type="dxa"/>
          </w:tcPr>
          <w:p w14:paraId="617523FC" w14:textId="6077F788" w:rsidR="004F42E6" w:rsidRDefault="00A45974" w:rsidP="00790899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37 hours per week</w:t>
            </w:r>
            <w:r w:rsidR="00DA226C">
              <w:rPr>
                <w:rFonts w:ascii="Calibri" w:hAnsi="Calibri"/>
                <w:sz w:val="24"/>
                <w:szCs w:val="96"/>
              </w:rPr>
              <w:t xml:space="preserve"> (F/T, P/T, Job Share)</w:t>
            </w:r>
          </w:p>
        </w:tc>
      </w:tr>
      <w:tr w:rsidR="004C1EB0" w:rsidRPr="00BB6AA8" w14:paraId="58593806" w14:textId="77777777" w:rsidTr="009F5BE4">
        <w:trPr>
          <w:trHeight w:val="454"/>
        </w:trPr>
        <w:tc>
          <w:tcPr>
            <w:tcW w:w="2802" w:type="dxa"/>
          </w:tcPr>
          <w:p w14:paraId="21D7AF5F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Grade:</w:t>
            </w:r>
          </w:p>
        </w:tc>
        <w:tc>
          <w:tcPr>
            <w:tcW w:w="7618" w:type="dxa"/>
          </w:tcPr>
          <w:p w14:paraId="6A6FA6A7" w14:textId="12C5E3E2" w:rsidR="004C1EB0" w:rsidRPr="00BB6AA8" w:rsidRDefault="005054FA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7</w:t>
            </w:r>
          </w:p>
        </w:tc>
      </w:tr>
      <w:tr w:rsidR="004C1EB0" w:rsidRPr="00BB6AA8" w14:paraId="4C427DE4" w14:textId="77777777" w:rsidTr="009F5BE4">
        <w:trPr>
          <w:trHeight w:val="454"/>
        </w:trPr>
        <w:tc>
          <w:tcPr>
            <w:tcW w:w="2802" w:type="dxa"/>
          </w:tcPr>
          <w:p w14:paraId="71C71279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Work Base:</w:t>
            </w:r>
          </w:p>
        </w:tc>
        <w:tc>
          <w:tcPr>
            <w:tcW w:w="7618" w:type="dxa"/>
          </w:tcPr>
          <w:p w14:paraId="7D1C930E" w14:textId="77777777" w:rsidR="004C1EB0" w:rsidRPr="00BB6AA8" w:rsidRDefault="00A45974" w:rsidP="00C3653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 xml:space="preserve">Civic Centre </w:t>
            </w:r>
          </w:p>
        </w:tc>
      </w:tr>
      <w:tr w:rsidR="004C1EB0" w:rsidRPr="00BB6AA8" w14:paraId="016DF074" w14:textId="77777777" w:rsidTr="009F5BE4">
        <w:trPr>
          <w:trHeight w:val="454"/>
        </w:trPr>
        <w:tc>
          <w:tcPr>
            <w:tcW w:w="2802" w:type="dxa"/>
          </w:tcPr>
          <w:p w14:paraId="2DE46CC5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Prepared/Agreed by:</w:t>
            </w:r>
          </w:p>
        </w:tc>
        <w:tc>
          <w:tcPr>
            <w:tcW w:w="7618" w:type="dxa"/>
          </w:tcPr>
          <w:p w14:paraId="2F2D8C59" w14:textId="21DA788D" w:rsidR="004C1EB0" w:rsidRPr="00BB6AA8" w:rsidRDefault="005054FA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Jill Moody</w:t>
            </w:r>
          </w:p>
        </w:tc>
      </w:tr>
      <w:tr w:rsidR="004C1EB0" w:rsidRPr="00BB6AA8" w14:paraId="2ACDF90D" w14:textId="77777777" w:rsidTr="009F5BE4">
        <w:trPr>
          <w:trHeight w:val="454"/>
        </w:trPr>
        <w:tc>
          <w:tcPr>
            <w:tcW w:w="2802" w:type="dxa"/>
          </w:tcPr>
          <w:p w14:paraId="71AE3581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Date:</w:t>
            </w:r>
          </w:p>
        </w:tc>
        <w:tc>
          <w:tcPr>
            <w:tcW w:w="7618" w:type="dxa"/>
          </w:tcPr>
          <w:p w14:paraId="43478BE0" w14:textId="23359436" w:rsidR="004C1EB0" w:rsidRPr="00BB6AA8" w:rsidRDefault="005054FA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September 2022</w:t>
            </w:r>
          </w:p>
        </w:tc>
      </w:tr>
    </w:tbl>
    <w:p w14:paraId="3AD8380C" w14:textId="77777777" w:rsidR="00101D42" w:rsidRPr="00E51DF8" w:rsidRDefault="00101D42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7435"/>
      </w:tblGrid>
      <w:tr w:rsidR="0035491B" w14:paraId="3788CED3" w14:textId="77777777" w:rsidTr="009F5BE4">
        <w:trPr>
          <w:trHeight w:val="454"/>
        </w:trPr>
        <w:tc>
          <w:tcPr>
            <w:tcW w:w="10420" w:type="dxa"/>
            <w:gridSpan w:val="2"/>
          </w:tcPr>
          <w:p w14:paraId="13EAF369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BB6AA8" w14:paraId="5CDB3633" w14:textId="77777777" w:rsidTr="009F5BE4">
        <w:trPr>
          <w:trHeight w:val="454"/>
        </w:trPr>
        <w:tc>
          <w:tcPr>
            <w:tcW w:w="2802" w:type="dxa"/>
          </w:tcPr>
          <w:p w14:paraId="167339AA" w14:textId="77777777" w:rsidR="0035491B" w:rsidRPr="00BB6AA8" w:rsidRDefault="0035491B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Reports to:</w:t>
            </w:r>
          </w:p>
        </w:tc>
        <w:tc>
          <w:tcPr>
            <w:tcW w:w="7618" w:type="dxa"/>
          </w:tcPr>
          <w:p w14:paraId="5D77ED65" w14:textId="19E9BC1D" w:rsidR="0035491B" w:rsidRPr="00BB6AA8" w:rsidRDefault="00240FE6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Health and Wellbeing Manager</w:t>
            </w:r>
          </w:p>
        </w:tc>
      </w:tr>
      <w:tr w:rsidR="007E190B" w:rsidRPr="00BB6AA8" w14:paraId="0C577FAB" w14:textId="77777777" w:rsidTr="009F5BE4">
        <w:trPr>
          <w:trHeight w:val="454"/>
        </w:trPr>
        <w:tc>
          <w:tcPr>
            <w:tcW w:w="2802" w:type="dxa"/>
          </w:tcPr>
          <w:p w14:paraId="60BB1BB1" w14:textId="77777777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7E190B">
              <w:rPr>
                <w:rFonts w:ascii="Calibri" w:hAnsi="Calibri"/>
                <w:sz w:val="24"/>
                <w:szCs w:val="96"/>
              </w:rPr>
              <w:t>Deputising Responsibility:</w:t>
            </w:r>
          </w:p>
        </w:tc>
        <w:tc>
          <w:tcPr>
            <w:tcW w:w="7618" w:type="dxa"/>
          </w:tcPr>
          <w:p w14:paraId="052234FD" w14:textId="77777777" w:rsidR="007E190B" w:rsidRPr="00E51DF8" w:rsidRDefault="00A45974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N/A</w:t>
            </w:r>
          </w:p>
        </w:tc>
      </w:tr>
      <w:tr w:rsidR="007E190B" w:rsidRPr="00BB6AA8" w14:paraId="6DB5E5DE" w14:textId="77777777" w:rsidTr="009F5BE4">
        <w:trPr>
          <w:trHeight w:val="454"/>
        </w:trPr>
        <w:tc>
          <w:tcPr>
            <w:tcW w:w="2802" w:type="dxa"/>
          </w:tcPr>
          <w:p w14:paraId="13C9679D" w14:textId="77777777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Directly Supervises:</w:t>
            </w:r>
          </w:p>
        </w:tc>
        <w:tc>
          <w:tcPr>
            <w:tcW w:w="7618" w:type="dxa"/>
          </w:tcPr>
          <w:p w14:paraId="3098B71F" w14:textId="77777777" w:rsidR="007E190B" w:rsidRPr="00E51DF8" w:rsidRDefault="00A45974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N/A</w:t>
            </w:r>
          </w:p>
        </w:tc>
      </w:tr>
      <w:tr w:rsidR="0035491B" w:rsidRPr="00BB6AA8" w14:paraId="0710D771" w14:textId="77777777" w:rsidTr="009F5BE4">
        <w:trPr>
          <w:trHeight w:val="454"/>
        </w:trPr>
        <w:tc>
          <w:tcPr>
            <w:tcW w:w="2802" w:type="dxa"/>
          </w:tcPr>
          <w:p w14:paraId="76406C08" w14:textId="77777777" w:rsidR="0035491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Indirectly Supervises:</w:t>
            </w:r>
          </w:p>
        </w:tc>
        <w:tc>
          <w:tcPr>
            <w:tcW w:w="7618" w:type="dxa"/>
          </w:tcPr>
          <w:p w14:paraId="207D6ED0" w14:textId="77777777" w:rsidR="0035491B" w:rsidRPr="00BB6AA8" w:rsidRDefault="00A45974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N/A</w:t>
            </w:r>
          </w:p>
        </w:tc>
      </w:tr>
    </w:tbl>
    <w:p w14:paraId="2C25AE2B" w14:textId="77777777" w:rsidR="0035491B" w:rsidRPr="00E51DF8" w:rsidRDefault="0035491B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14:paraId="18B93B49" w14:textId="77777777" w:rsidTr="00E51DF8">
        <w:trPr>
          <w:trHeight w:val="454"/>
        </w:trPr>
        <w:tc>
          <w:tcPr>
            <w:tcW w:w="10420" w:type="dxa"/>
          </w:tcPr>
          <w:p w14:paraId="64888556" w14:textId="0A3734AF" w:rsidR="0036452C" w:rsidRDefault="00B9402C" w:rsidP="004C3C41">
            <w:pPr>
              <w:rPr>
                <w:rFonts w:cs="Arial"/>
                <w:lang w:eastAsia="en-GB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3</w:t>
            </w:r>
            <w:r w:rsidR="003B7652"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 xml:space="preserve">JOB </w:t>
            </w:r>
            <w:r w:rsidRPr="00B9402C">
              <w:rPr>
                <w:rFonts w:ascii="Calibri" w:hAnsi="Calibri"/>
                <w:b/>
                <w:sz w:val="28"/>
                <w:szCs w:val="28"/>
              </w:rPr>
              <w:t xml:space="preserve">PURPOSE </w:t>
            </w:r>
          </w:p>
          <w:p w14:paraId="3F622D8B" w14:textId="77777777" w:rsidR="0036452C" w:rsidRDefault="0036452C" w:rsidP="004C3C41">
            <w:pPr>
              <w:rPr>
                <w:rFonts w:cs="Arial"/>
                <w:lang w:eastAsia="en-GB"/>
              </w:rPr>
            </w:pPr>
          </w:p>
          <w:p w14:paraId="3C97703A" w14:textId="6FE8BD79" w:rsidR="0036452C" w:rsidRPr="00162F2E" w:rsidRDefault="0036452C" w:rsidP="004C3C41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cs="Arial"/>
                <w:lang w:eastAsia="en-GB"/>
              </w:rPr>
              <w:t xml:space="preserve">The Social Prescribing Link Worker </w:t>
            </w:r>
            <w:r w:rsidR="007F2386">
              <w:rPr>
                <w:rFonts w:cs="Arial"/>
                <w:lang w:eastAsia="en-GB"/>
              </w:rPr>
              <w:t>supports</w:t>
            </w:r>
            <w:r>
              <w:rPr>
                <w:rFonts w:cs="Arial"/>
                <w:lang w:eastAsia="en-GB"/>
              </w:rPr>
              <w:t xml:space="preserve"> residents to access non-medical sources of support in the community to </w:t>
            </w:r>
            <w:r w:rsidR="00CA4F36">
              <w:rPr>
                <w:rFonts w:cs="Arial"/>
                <w:lang w:eastAsia="en-GB"/>
              </w:rPr>
              <w:t xml:space="preserve">help </w:t>
            </w:r>
            <w:r w:rsidR="00162F2E">
              <w:rPr>
                <w:rFonts w:cs="Arial"/>
                <w:lang w:eastAsia="en-GB"/>
              </w:rPr>
              <w:t>improve their he</w:t>
            </w:r>
            <w:r w:rsidR="00CA4F36">
              <w:rPr>
                <w:rFonts w:cs="Arial"/>
                <w:lang w:eastAsia="en-GB"/>
              </w:rPr>
              <w:t>alth</w:t>
            </w:r>
            <w:r w:rsidR="00162F2E">
              <w:rPr>
                <w:rFonts w:cs="Arial"/>
                <w:lang w:eastAsia="en-GB"/>
              </w:rPr>
              <w:t xml:space="preserve"> and wellbeing</w:t>
            </w:r>
            <w:r w:rsidR="00CC0E72">
              <w:rPr>
                <w:rFonts w:cs="Arial"/>
                <w:lang w:eastAsia="en-GB"/>
              </w:rPr>
              <w:t>.</w:t>
            </w:r>
          </w:p>
        </w:tc>
      </w:tr>
      <w:tr w:rsidR="00C17476" w:rsidRPr="00BB6AA8" w14:paraId="6577E93E" w14:textId="77777777" w:rsidTr="00924E67">
        <w:trPr>
          <w:trHeight w:val="454"/>
        </w:trPr>
        <w:tc>
          <w:tcPr>
            <w:tcW w:w="10420" w:type="dxa"/>
          </w:tcPr>
          <w:p w14:paraId="19C4305A" w14:textId="7A694534" w:rsidR="002A237A" w:rsidRDefault="00CC0E72" w:rsidP="002A237A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</w:t>
            </w:r>
            <w:r w:rsidR="000D4711">
              <w:rPr>
                <w:rFonts w:cs="Arial"/>
                <w:lang w:eastAsia="en-GB"/>
              </w:rPr>
              <w:t xml:space="preserve">s part </w:t>
            </w:r>
            <w:r w:rsidR="000D4711" w:rsidRPr="00486253">
              <w:rPr>
                <w:rFonts w:cs="Arial"/>
                <w:lang w:eastAsia="en-GB"/>
              </w:rPr>
              <w:t xml:space="preserve">of the </w:t>
            </w:r>
            <w:proofErr w:type="gramStart"/>
            <w:r w:rsidR="00CA4F36" w:rsidRPr="00486253">
              <w:rPr>
                <w:rFonts w:cs="Arial"/>
                <w:lang w:eastAsia="en-GB"/>
              </w:rPr>
              <w:t>North</w:t>
            </w:r>
            <w:r w:rsidR="00CA4F36">
              <w:rPr>
                <w:rFonts w:cs="Arial"/>
                <w:lang w:eastAsia="en-GB"/>
              </w:rPr>
              <w:t xml:space="preserve"> W</w:t>
            </w:r>
            <w:r w:rsidR="00CA4F36" w:rsidRPr="00486253">
              <w:rPr>
                <w:rFonts w:cs="Arial"/>
                <w:lang w:eastAsia="en-GB"/>
              </w:rPr>
              <w:t>est</w:t>
            </w:r>
            <w:proofErr w:type="gramEnd"/>
            <w:r w:rsidR="000D4711" w:rsidRPr="00486253">
              <w:rPr>
                <w:rFonts w:cs="Arial"/>
                <w:lang w:eastAsia="en-GB"/>
              </w:rPr>
              <w:t xml:space="preserve"> Surrey Social Prescribing model</w:t>
            </w:r>
            <w:r w:rsidR="002A3D98">
              <w:rPr>
                <w:rFonts w:cs="Arial"/>
                <w:lang w:eastAsia="en-GB"/>
              </w:rPr>
              <w:t xml:space="preserve"> the Social Prescribing Link Worker </w:t>
            </w:r>
            <w:r w:rsidR="00EE3257">
              <w:rPr>
                <w:rFonts w:cs="Arial"/>
                <w:lang w:eastAsia="en-GB"/>
              </w:rPr>
              <w:t xml:space="preserve">is aligned </w:t>
            </w:r>
            <w:r w:rsidR="00DE2C1C">
              <w:rPr>
                <w:rFonts w:cs="Arial"/>
                <w:lang w:eastAsia="en-GB"/>
              </w:rPr>
              <w:t xml:space="preserve">with a </w:t>
            </w:r>
            <w:r w:rsidR="00DE2C1C" w:rsidRPr="00486253">
              <w:rPr>
                <w:rFonts w:cs="Arial"/>
                <w:lang w:eastAsia="en-GB"/>
              </w:rPr>
              <w:t xml:space="preserve">group of GP practices </w:t>
            </w:r>
            <w:r w:rsidR="00A45974" w:rsidRPr="00486253">
              <w:rPr>
                <w:rFonts w:cs="Arial"/>
                <w:lang w:eastAsia="en-GB"/>
              </w:rPr>
              <w:t>with</w:t>
            </w:r>
            <w:r w:rsidR="003452F7">
              <w:rPr>
                <w:rFonts w:cs="Arial"/>
                <w:lang w:eastAsia="en-GB"/>
              </w:rPr>
              <w:t>in</w:t>
            </w:r>
            <w:r w:rsidR="00A45974" w:rsidRPr="00486253">
              <w:rPr>
                <w:rFonts w:cs="Arial"/>
                <w:lang w:eastAsia="en-GB"/>
              </w:rPr>
              <w:t xml:space="preserve"> an identified geographical area</w:t>
            </w:r>
            <w:r w:rsidR="00CA4F36">
              <w:rPr>
                <w:rFonts w:cs="Arial"/>
                <w:lang w:eastAsia="en-GB"/>
              </w:rPr>
              <w:t xml:space="preserve">, </w:t>
            </w:r>
            <w:r w:rsidR="00A45974" w:rsidRPr="00486253">
              <w:rPr>
                <w:rFonts w:cs="Arial"/>
                <w:lang w:eastAsia="en-GB"/>
              </w:rPr>
              <w:t xml:space="preserve">defined by the </w:t>
            </w:r>
            <w:r w:rsidR="00932D21">
              <w:rPr>
                <w:rFonts w:cs="Arial"/>
                <w:lang w:eastAsia="en-GB"/>
              </w:rPr>
              <w:t>L</w:t>
            </w:r>
            <w:r w:rsidR="00A45974" w:rsidRPr="00486253">
              <w:rPr>
                <w:rFonts w:cs="Arial"/>
                <w:lang w:eastAsia="en-GB"/>
              </w:rPr>
              <w:t>ocal Primary Care Network (PCN)</w:t>
            </w:r>
            <w:r w:rsidR="00162F2E">
              <w:rPr>
                <w:rFonts w:cs="Arial"/>
                <w:lang w:eastAsia="en-GB"/>
              </w:rPr>
              <w:t>.</w:t>
            </w:r>
            <w:r w:rsidR="00DE2C1C">
              <w:rPr>
                <w:rFonts w:cs="Arial"/>
                <w:lang w:eastAsia="en-GB"/>
              </w:rPr>
              <w:t xml:space="preserve"> </w:t>
            </w:r>
            <w:r w:rsidR="002A237A">
              <w:rPr>
                <w:rFonts w:cs="Arial"/>
                <w:lang w:eastAsia="en-GB"/>
              </w:rPr>
              <w:t>The Social Prescribing Link Worker</w:t>
            </w:r>
            <w:r w:rsidR="003319D3">
              <w:rPr>
                <w:rFonts w:cs="Arial"/>
                <w:lang w:eastAsia="en-GB"/>
              </w:rPr>
              <w:t xml:space="preserve"> works with</w:t>
            </w:r>
            <w:r w:rsidR="002A237A">
              <w:rPr>
                <w:rFonts w:cs="Arial"/>
                <w:lang w:eastAsia="en-GB"/>
              </w:rPr>
              <w:t xml:space="preserve"> </w:t>
            </w:r>
            <w:r w:rsidR="00CA4F36">
              <w:rPr>
                <w:rFonts w:cs="Arial"/>
                <w:lang w:eastAsia="en-GB"/>
              </w:rPr>
              <w:t xml:space="preserve">residents </w:t>
            </w:r>
            <w:r w:rsidR="002A237A" w:rsidRPr="00486253">
              <w:rPr>
                <w:rFonts w:cs="Arial"/>
                <w:lang w:eastAsia="en-GB"/>
              </w:rPr>
              <w:t xml:space="preserve">referred </w:t>
            </w:r>
            <w:r w:rsidR="002A237A">
              <w:rPr>
                <w:rFonts w:cs="Arial"/>
                <w:lang w:eastAsia="en-GB"/>
              </w:rPr>
              <w:t xml:space="preserve">to the service by supporting them to access relevant services; this could be via voluntary organisations, local authority services or other community groups that can provide practical, emotional and/or social support, empowering them to improve their own health and wellbeing by addressing the wider determinants of health. </w:t>
            </w:r>
          </w:p>
          <w:p w14:paraId="27F8E445" w14:textId="77777777" w:rsidR="00A45974" w:rsidRPr="00486253" w:rsidRDefault="00A45974" w:rsidP="00A45974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GB"/>
              </w:rPr>
            </w:pPr>
          </w:p>
          <w:p w14:paraId="21055AC5" w14:textId="77777777" w:rsidR="00C17476" w:rsidRPr="00B9402C" w:rsidRDefault="00C17476" w:rsidP="001B7F0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96"/>
              </w:rPr>
            </w:pPr>
          </w:p>
        </w:tc>
      </w:tr>
    </w:tbl>
    <w:p w14:paraId="443BD9C6" w14:textId="77777777" w:rsidR="00D42365" w:rsidRDefault="00D42365" w:rsidP="007A16D2">
      <w:pPr>
        <w:spacing w:after="0"/>
        <w:rPr>
          <w:sz w:val="32"/>
        </w:rPr>
      </w:pPr>
    </w:p>
    <w:p w14:paraId="5A49C87B" w14:textId="35AA0BDA" w:rsidR="007F5A39" w:rsidRDefault="007F5A39" w:rsidP="007A16D2">
      <w:pPr>
        <w:spacing w:after="0"/>
        <w:rPr>
          <w:sz w:val="32"/>
        </w:rPr>
      </w:pPr>
    </w:p>
    <w:p w14:paraId="579588C1" w14:textId="77777777" w:rsidR="007F2386" w:rsidRDefault="007F2386" w:rsidP="007A16D2">
      <w:pPr>
        <w:spacing w:after="0"/>
        <w:rPr>
          <w:sz w:val="32"/>
        </w:rPr>
      </w:pPr>
    </w:p>
    <w:p w14:paraId="5B9D0E0B" w14:textId="77777777" w:rsidR="00B9402C" w:rsidRPr="007A16D2" w:rsidRDefault="00B9402C" w:rsidP="007A16D2">
      <w:pPr>
        <w:spacing w:after="0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222839" w:rsidRPr="00222839" w14:paraId="6BF94D01" w14:textId="77777777" w:rsidTr="004F6A1B">
        <w:trPr>
          <w:trHeight w:val="454"/>
        </w:trPr>
        <w:tc>
          <w:tcPr>
            <w:tcW w:w="10204" w:type="dxa"/>
          </w:tcPr>
          <w:p w14:paraId="527185AD" w14:textId="4D4C7BD3" w:rsidR="003B7652" w:rsidRPr="00222839" w:rsidRDefault="00222839" w:rsidP="00222839">
            <w:pPr>
              <w:rPr>
                <w:rFonts w:ascii="Calibri" w:hAnsi="Calibri"/>
                <w:b/>
                <w:sz w:val="28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lastRenderedPageBreak/>
              <w:t>4</w:t>
            </w:r>
            <w:r w:rsidR="003B7652" w:rsidRPr="00222839">
              <w:rPr>
                <w:rFonts w:ascii="Calibri" w:hAnsi="Calibri"/>
                <w:b/>
                <w:sz w:val="28"/>
                <w:szCs w:val="96"/>
              </w:rPr>
              <w:t>. MAIN DUTIES OF THE POST</w:t>
            </w:r>
          </w:p>
          <w:p w14:paraId="0012FFAE" w14:textId="77777777" w:rsidR="00F2068A" w:rsidRPr="00222839" w:rsidRDefault="00F2068A" w:rsidP="00222839">
            <w:pPr>
              <w:rPr>
                <w:rFonts w:ascii="Calibri" w:hAnsi="Calibri"/>
                <w:b/>
                <w:sz w:val="28"/>
                <w:szCs w:val="96"/>
              </w:rPr>
            </w:pPr>
          </w:p>
          <w:p w14:paraId="4085A412" w14:textId="0DD26E81" w:rsidR="00F2068A" w:rsidRPr="00222839" w:rsidRDefault="00F2068A" w:rsidP="00222839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cs="Arial"/>
              </w:rPr>
            </w:pPr>
            <w:r w:rsidRPr="00222839">
              <w:t xml:space="preserve">To </w:t>
            </w:r>
            <w:r w:rsidR="003A78C0" w:rsidRPr="00222839">
              <w:t xml:space="preserve">effectively deliver </w:t>
            </w:r>
            <w:r w:rsidRPr="00222839">
              <w:t xml:space="preserve">the NW Surrey Social Prescribing Model with Runnymede Borough Council on behalf of </w:t>
            </w:r>
            <w:r w:rsidR="00CA4F36" w:rsidRPr="00222839">
              <w:t>the</w:t>
            </w:r>
            <w:r w:rsidRPr="00222839">
              <w:t xml:space="preserve"> Primary Care Network </w:t>
            </w:r>
          </w:p>
          <w:p w14:paraId="7D2BD2D9" w14:textId="77777777" w:rsidR="00876ED2" w:rsidRPr="00222839" w:rsidRDefault="00876ED2" w:rsidP="00222839"/>
          <w:p w14:paraId="4A325809" w14:textId="322F3C77" w:rsidR="00B33A53" w:rsidRPr="00222839" w:rsidRDefault="00876ED2" w:rsidP="00222839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222839">
              <w:t>Manage and prioritise referrals</w:t>
            </w:r>
            <w:r w:rsidR="00D50589" w:rsidRPr="00222839">
              <w:t xml:space="preserve"> </w:t>
            </w:r>
            <w:r w:rsidRPr="00222839">
              <w:t>and patient caseload</w:t>
            </w:r>
          </w:p>
          <w:p w14:paraId="08682844" w14:textId="77777777" w:rsidR="00B33A53" w:rsidRPr="00222839" w:rsidRDefault="00B33A53" w:rsidP="00222839">
            <w:pPr>
              <w:pStyle w:val="ListParagraph"/>
              <w:ind w:left="0"/>
            </w:pPr>
          </w:p>
          <w:p w14:paraId="1FE4ED55" w14:textId="479ED057" w:rsidR="00876ED2" w:rsidRPr="00222839" w:rsidRDefault="00B33A53" w:rsidP="00222839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222839">
              <w:t>G</w:t>
            </w:r>
            <w:r w:rsidR="00876ED2" w:rsidRPr="00222839">
              <w:t>iv</w:t>
            </w:r>
            <w:r w:rsidRPr="00222839">
              <w:t>e</w:t>
            </w:r>
            <w:r w:rsidR="00876ED2" w:rsidRPr="00222839">
              <w:t xml:space="preserve"> patients time </w:t>
            </w:r>
            <w:r w:rsidR="00E01078" w:rsidRPr="00222839">
              <w:t>to</w:t>
            </w:r>
            <w:r w:rsidR="00876ED2" w:rsidRPr="00222839">
              <w:t xml:space="preserve"> focus on ‘what matters to them’ taking a holistic approach based on the patient’s own priorities and the wider determinants of health</w:t>
            </w:r>
          </w:p>
          <w:p w14:paraId="2C71987E" w14:textId="77777777" w:rsidR="00876ED2" w:rsidRPr="00222839" w:rsidRDefault="00876ED2" w:rsidP="00222839">
            <w:pPr>
              <w:pStyle w:val="ListParagraph"/>
              <w:spacing w:line="276" w:lineRule="auto"/>
              <w:ind w:left="0"/>
            </w:pPr>
          </w:p>
          <w:p w14:paraId="1CF3DF9C" w14:textId="0E852E24" w:rsidR="00876ED2" w:rsidRPr="00222839" w:rsidRDefault="00876ED2" w:rsidP="00222839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222839">
              <w:t xml:space="preserve">Develop trusting relationships with patients, their </w:t>
            </w:r>
            <w:proofErr w:type="gramStart"/>
            <w:r w:rsidRPr="00222839">
              <w:t>families</w:t>
            </w:r>
            <w:proofErr w:type="gramEnd"/>
            <w:r w:rsidRPr="00222839">
              <w:t xml:space="preserve"> and carers</w:t>
            </w:r>
          </w:p>
          <w:p w14:paraId="1CB96634" w14:textId="77777777" w:rsidR="00FC7672" w:rsidRPr="00222839" w:rsidRDefault="00FC7672" w:rsidP="00222839">
            <w:pPr>
              <w:pStyle w:val="ListParagraph"/>
              <w:ind w:left="0"/>
            </w:pPr>
          </w:p>
          <w:p w14:paraId="3DCE0E67" w14:textId="31FEB9CD" w:rsidR="00067CE2" w:rsidRPr="00222839" w:rsidRDefault="00067CE2" w:rsidP="00222839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222839">
              <w:t xml:space="preserve">Develop an in-depth knowledge of local authority services, voluntary sector, faith and community groups, information and guidance services and other support available locally to signpost patients </w:t>
            </w:r>
          </w:p>
          <w:p w14:paraId="2C792399" w14:textId="77777777" w:rsidR="00067CE2" w:rsidRPr="00222839" w:rsidRDefault="00067CE2" w:rsidP="00222839">
            <w:pPr>
              <w:pStyle w:val="ListParagraph"/>
              <w:spacing w:line="276" w:lineRule="auto"/>
              <w:ind w:left="0"/>
            </w:pPr>
          </w:p>
          <w:p w14:paraId="50419058" w14:textId="77777777" w:rsidR="00067CE2" w:rsidRPr="00222839" w:rsidRDefault="00067CE2" w:rsidP="00222839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222839">
              <w:t xml:space="preserve">Assess how a patient’s health and wellbeing needs can be met via non-medical support in the community and provide information, referral or more </w:t>
            </w:r>
            <w:proofErr w:type="gramStart"/>
            <w:r w:rsidRPr="00222839">
              <w:t>in depth</w:t>
            </w:r>
            <w:proofErr w:type="gramEnd"/>
            <w:r w:rsidRPr="00222839">
              <w:t xml:space="preserve"> support as required by the individual to access </w:t>
            </w:r>
          </w:p>
          <w:p w14:paraId="2BEF771D" w14:textId="77777777" w:rsidR="00FC7672" w:rsidRPr="00222839" w:rsidRDefault="00FC7672" w:rsidP="00222839">
            <w:pPr>
              <w:pStyle w:val="ListParagraph"/>
              <w:spacing w:line="276" w:lineRule="auto"/>
              <w:ind w:left="0"/>
            </w:pPr>
          </w:p>
          <w:p w14:paraId="0005FB07" w14:textId="144267FA" w:rsidR="00FC7672" w:rsidRPr="00222839" w:rsidRDefault="00FC7672" w:rsidP="00222839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222839">
              <w:t>Refer patients back to health professionals within the Primary Care Network (PCN) where</w:t>
            </w:r>
            <w:r w:rsidRPr="00222839">
              <w:rPr>
                <w:rFonts w:cs="Arial"/>
              </w:rPr>
              <w:t xml:space="preserve"> </w:t>
            </w:r>
            <w:r w:rsidR="00330245" w:rsidRPr="00222839">
              <w:rPr>
                <w:rFonts w:cs="Arial"/>
              </w:rPr>
              <w:t xml:space="preserve">there may be a need </w:t>
            </w:r>
            <w:r w:rsidRPr="00222839">
              <w:rPr>
                <w:rFonts w:cs="Arial"/>
              </w:rPr>
              <w:t>for</w:t>
            </w:r>
            <w:r w:rsidR="00330245" w:rsidRPr="00222839">
              <w:rPr>
                <w:rFonts w:cs="Arial"/>
              </w:rPr>
              <w:t xml:space="preserve"> other</w:t>
            </w:r>
            <w:r w:rsidRPr="00222839">
              <w:rPr>
                <w:rFonts w:cs="Arial"/>
              </w:rPr>
              <w:t xml:space="preserve"> </w:t>
            </w:r>
            <w:r w:rsidR="00330245" w:rsidRPr="00222839">
              <w:rPr>
                <w:rFonts w:cs="Arial"/>
              </w:rPr>
              <w:t xml:space="preserve">healthcare/medical support </w:t>
            </w:r>
          </w:p>
          <w:p w14:paraId="53E028F1" w14:textId="77777777" w:rsidR="00FC7672" w:rsidRPr="00222839" w:rsidRDefault="00FC7672" w:rsidP="00222839"/>
          <w:p w14:paraId="7AE1BD6C" w14:textId="77777777" w:rsidR="00876ED2" w:rsidRPr="00222839" w:rsidRDefault="00876ED2" w:rsidP="00222839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222839">
              <w:t xml:space="preserve">Co-produce with the patient a simple personalised care and support plan </w:t>
            </w:r>
          </w:p>
          <w:p w14:paraId="2F939205" w14:textId="77777777" w:rsidR="00876ED2" w:rsidRPr="00222839" w:rsidRDefault="00876ED2" w:rsidP="00222839"/>
          <w:p w14:paraId="4B559DA9" w14:textId="77777777" w:rsidR="00876ED2" w:rsidRPr="00222839" w:rsidRDefault="00876ED2" w:rsidP="00222839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222839">
              <w:t xml:space="preserve">Complete all administration and monitoring related to the service </w:t>
            </w:r>
          </w:p>
          <w:p w14:paraId="2E8E400D" w14:textId="40F434DA" w:rsidR="00876ED2" w:rsidRPr="00222839" w:rsidRDefault="00876ED2" w:rsidP="00222839">
            <w:pPr>
              <w:pStyle w:val="BodyTextIndent2"/>
              <w:numPr>
                <w:ilvl w:val="0"/>
                <w:numId w:val="19"/>
              </w:num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222839">
              <w:rPr>
                <w:rFonts w:asciiTheme="minorHAnsi" w:hAnsiTheme="minorHAnsi" w:cs="Arial"/>
                <w:b w:val="0"/>
                <w:sz w:val="22"/>
                <w:szCs w:val="22"/>
              </w:rPr>
              <w:t>Keep database and monitoring systems up to date, working within the requirements of data protection and information governance</w:t>
            </w:r>
          </w:p>
          <w:p w14:paraId="223BFC87" w14:textId="77777777" w:rsidR="00876ED2" w:rsidRPr="00222839" w:rsidRDefault="00876ED2" w:rsidP="00222839"/>
          <w:p w14:paraId="1C5F3456" w14:textId="28F84BBD" w:rsidR="00E60FCB" w:rsidRPr="00222839" w:rsidRDefault="00876ED2" w:rsidP="00222839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222839">
              <w:t>Evaluate how engagement with Social Prescribing has met the patients’ needs and provide feedback to referrer as required</w:t>
            </w:r>
          </w:p>
          <w:p w14:paraId="587E69ED" w14:textId="77777777" w:rsidR="00A84133" w:rsidRPr="00222839" w:rsidRDefault="00A84133" w:rsidP="00222839">
            <w:pPr>
              <w:pStyle w:val="ListParagraph"/>
              <w:spacing w:line="276" w:lineRule="auto"/>
              <w:ind w:left="0"/>
            </w:pPr>
          </w:p>
          <w:p w14:paraId="3814F6DF" w14:textId="016E59F3" w:rsidR="00E60FCB" w:rsidRPr="00222839" w:rsidRDefault="00E60FCB" w:rsidP="00222839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222839">
              <w:t>Work collaboratively</w:t>
            </w:r>
            <w:r w:rsidR="00F24FDA" w:rsidRPr="00222839">
              <w:t xml:space="preserve"> with the</w:t>
            </w:r>
            <w:r w:rsidR="001272A4" w:rsidRPr="00222839">
              <w:t xml:space="preserve"> Runnymede Borough Council</w:t>
            </w:r>
            <w:r w:rsidR="00F24FDA" w:rsidRPr="00222839">
              <w:t xml:space="preserve"> Social Prescribing team</w:t>
            </w:r>
            <w:r w:rsidR="009E4321" w:rsidRPr="00222839">
              <w:t xml:space="preserve">, </w:t>
            </w:r>
            <w:r w:rsidR="004460FD" w:rsidRPr="00222839">
              <w:t>offer</w:t>
            </w:r>
            <w:r w:rsidR="009E4321" w:rsidRPr="00222839">
              <w:t xml:space="preserve">ing </w:t>
            </w:r>
            <w:r w:rsidR="00F24FDA" w:rsidRPr="00222839">
              <w:t xml:space="preserve">support </w:t>
            </w:r>
            <w:r w:rsidR="007F2386" w:rsidRPr="00222839">
              <w:t xml:space="preserve">to </w:t>
            </w:r>
            <w:r w:rsidR="00552241" w:rsidRPr="00222839">
              <w:t xml:space="preserve">other members of the team </w:t>
            </w:r>
            <w:r w:rsidR="009E4321" w:rsidRPr="00222839">
              <w:t>including</w:t>
            </w:r>
            <w:r w:rsidR="004460FD" w:rsidRPr="00222839">
              <w:t xml:space="preserve"> practical support where capacity requires</w:t>
            </w:r>
          </w:p>
          <w:p w14:paraId="348D0E00" w14:textId="77777777" w:rsidR="00552241" w:rsidRPr="00222839" w:rsidRDefault="00552241" w:rsidP="00222839"/>
          <w:p w14:paraId="59365528" w14:textId="77777777" w:rsidR="00876ED2" w:rsidRPr="00222839" w:rsidRDefault="00876ED2" w:rsidP="00222839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222839">
              <w:t>Attend partnership, stakeholder and social prescribing meetings as required, representing the borough council where relevant</w:t>
            </w:r>
          </w:p>
          <w:p w14:paraId="56382FCF" w14:textId="77777777" w:rsidR="007E39B2" w:rsidRPr="00222839" w:rsidRDefault="007E39B2" w:rsidP="00222839">
            <w:pPr>
              <w:spacing w:line="276" w:lineRule="auto"/>
              <w:jc w:val="both"/>
              <w:rPr>
                <w:rFonts w:cs="Arial"/>
              </w:rPr>
            </w:pPr>
          </w:p>
          <w:p w14:paraId="3330A366" w14:textId="11388652" w:rsidR="00F2068A" w:rsidRPr="00222839" w:rsidRDefault="00F2068A" w:rsidP="00222839">
            <w:pPr>
              <w:rPr>
                <w:rFonts w:ascii="Calibri" w:hAnsi="Calibri"/>
                <w:b/>
                <w:sz w:val="24"/>
                <w:szCs w:val="96"/>
              </w:rPr>
            </w:pPr>
          </w:p>
        </w:tc>
      </w:tr>
      <w:tr w:rsidR="00222839" w:rsidRPr="00222839" w14:paraId="6C0CB74B" w14:textId="77777777" w:rsidTr="004F6A1B">
        <w:trPr>
          <w:trHeight w:val="454"/>
        </w:trPr>
        <w:tc>
          <w:tcPr>
            <w:tcW w:w="10204" w:type="dxa"/>
          </w:tcPr>
          <w:p w14:paraId="27860DA2" w14:textId="77777777" w:rsidR="00A45974" w:rsidRPr="00222839" w:rsidRDefault="00A45974" w:rsidP="00222839">
            <w:pPr>
              <w:pStyle w:val="ListParagraph"/>
              <w:spacing w:line="276" w:lineRule="auto"/>
              <w:ind w:left="0"/>
            </w:pPr>
          </w:p>
          <w:p w14:paraId="29ADF5F8" w14:textId="77777777" w:rsidR="00A45974" w:rsidRPr="00222839" w:rsidRDefault="00A45974" w:rsidP="00222839">
            <w:pPr>
              <w:pStyle w:val="ListParagraph"/>
              <w:ind w:left="0"/>
            </w:pPr>
          </w:p>
          <w:p w14:paraId="5B8073C7" w14:textId="77777777" w:rsidR="00A45974" w:rsidRPr="00222839" w:rsidRDefault="00A45974" w:rsidP="00222839">
            <w:pPr>
              <w:pStyle w:val="ListParagraph"/>
              <w:ind w:left="0"/>
            </w:pPr>
          </w:p>
          <w:p w14:paraId="0F21F1A3" w14:textId="3607BBDB" w:rsidR="00A45974" w:rsidRPr="00222839" w:rsidRDefault="00A45974" w:rsidP="00222839">
            <w:pPr>
              <w:pStyle w:val="ListParagraph"/>
              <w:spacing w:line="276" w:lineRule="auto"/>
              <w:ind w:left="0"/>
            </w:pPr>
            <w:r w:rsidRPr="00222839">
              <w:t xml:space="preserve">                                </w:t>
            </w:r>
          </w:p>
          <w:p w14:paraId="39283A49" w14:textId="77777777" w:rsidR="00A45974" w:rsidRPr="00222839" w:rsidRDefault="00A45974" w:rsidP="00222839">
            <w:pPr>
              <w:pStyle w:val="ListParagraph"/>
              <w:ind w:left="0"/>
              <w:rPr>
                <w:rFonts w:cs="Arial"/>
              </w:rPr>
            </w:pPr>
          </w:p>
          <w:p w14:paraId="5268EC9A" w14:textId="77777777" w:rsidR="00A45974" w:rsidRPr="00222839" w:rsidRDefault="00A45974" w:rsidP="00222839">
            <w:pPr>
              <w:pStyle w:val="ListParagraph"/>
              <w:ind w:left="0"/>
              <w:rPr>
                <w:rFonts w:cs="Arial"/>
              </w:rPr>
            </w:pPr>
          </w:p>
          <w:p w14:paraId="696593DC" w14:textId="77777777" w:rsidR="00C214CB" w:rsidRDefault="00C214CB" w:rsidP="00222839">
            <w:pPr>
              <w:pStyle w:val="ListParagraph"/>
              <w:ind w:left="0"/>
              <w:jc w:val="both"/>
            </w:pPr>
          </w:p>
          <w:p w14:paraId="0EDA6977" w14:textId="6326FA84" w:rsidR="00222839" w:rsidRPr="00222839" w:rsidRDefault="00222839" w:rsidP="00222839">
            <w:pPr>
              <w:pStyle w:val="ListParagraph"/>
              <w:ind w:left="0"/>
              <w:jc w:val="both"/>
            </w:pPr>
          </w:p>
        </w:tc>
      </w:tr>
    </w:tbl>
    <w:p w14:paraId="50B5618F" w14:textId="77777777" w:rsidR="00222839" w:rsidRDefault="00222839" w:rsidP="00222839">
      <w:pPr>
        <w:autoSpaceDE w:val="0"/>
        <w:autoSpaceDN w:val="0"/>
        <w:adjustRightInd w:val="0"/>
        <w:spacing w:after="0"/>
        <w:jc w:val="both"/>
        <w:rPr>
          <w:rFonts w:cs="Arial"/>
          <w:b/>
        </w:rPr>
      </w:pPr>
    </w:p>
    <w:p w14:paraId="6DAEC2F4" w14:textId="77081F5A" w:rsidR="004F6A1B" w:rsidRPr="009464D9" w:rsidRDefault="009464D9" w:rsidP="00222839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5. </w:t>
      </w:r>
      <w:r w:rsidR="004F6A1B" w:rsidRPr="009464D9">
        <w:rPr>
          <w:rFonts w:cstheme="minorHAnsi"/>
          <w:b/>
          <w:sz w:val="28"/>
          <w:szCs w:val="28"/>
        </w:rPr>
        <w:t>O</w:t>
      </w:r>
      <w:r>
        <w:rPr>
          <w:rFonts w:cstheme="minorHAnsi"/>
          <w:b/>
          <w:sz w:val="28"/>
          <w:szCs w:val="28"/>
        </w:rPr>
        <w:t>THER</w:t>
      </w:r>
      <w:r w:rsidR="004F6A1B" w:rsidRPr="009464D9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RESPONSILTITIES</w:t>
      </w:r>
    </w:p>
    <w:p w14:paraId="647A04FF" w14:textId="77777777" w:rsidR="004F6A1B" w:rsidRPr="00222839" w:rsidRDefault="004F6A1B" w:rsidP="00222839">
      <w:pPr>
        <w:pStyle w:val="BodyTextIndent2"/>
        <w:ind w:left="0"/>
        <w:rPr>
          <w:rFonts w:asciiTheme="minorHAnsi" w:hAnsiTheme="minorHAnsi" w:cs="Arial"/>
          <w:b w:val="0"/>
          <w:sz w:val="22"/>
          <w:szCs w:val="22"/>
        </w:rPr>
      </w:pPr>
    </w:p>
    <w:p w14:paraId="381E9C4E" w14:textId="1BF1060D" w:rsidR="004F6A1B" w:rsidRPr="00222839" w:rsidRDefault="004F6A1B" w:rsidP="00CE6A3B">
      <w:pPr>
        <w:pStyle w:val="BodyTextIndent2"/>
        <w:numPr>
          <w:ilvl w:val="0"/>
          <w:numId w:val="18"/>
        </w:numPr>
        <w:ind w:left="720"/>
        <w:rPr>
          <w:rFonts w:asciiTheme="minorHAnsi" w:hAnsiTheme="minorHAnsi" w:cs="Arial"/>
          <w:b w:val="0"/>
          <w:sz w:val="22"/>
          <w:szCs w:val="22"/>
        </w:rPr>
      </w:pPr>
      <w:r w:rsidRPr="00222839">
        <w:rPr>
          <w:rFonts w:asciiTheme="minorHAnsi" w:hAnsiTheme="minorHAnsi" w:cs="Arial"/>
          <w:b w:val="0"/>
          <w:sz w:val="22"/>
          <w:szCs w:val="22"/>
        </w:rPr>
        <w:t xml:space="preserve">Work flexibly in delivering Social Prescribing from a variety of locations including council offices, community venues and within individuals’ homes using a combination of communication methods including face to face meetings, phone calls, emails, </w:t>
      </w:r>
      <w:proofErr w:type="gramStart"/>
      <w:r w:rsidRPr="00222839">
        <w:rPr>
          <w:rFonts w:asciiTheme="minorHAnsi" w:hAnsiTheme="minorHAnsi" w:cs="Arial"/>
          <w:b w:val="0"/>
          <w:sz w:val="22"/>
          <w:szCs w:val="22"/>
        </w:rPr>
        <w:t>letters</w:t>
      </w:r>
      <w:proofErr w:type="gramEnd"/>
      <w:r w:rsidRPr="00222839">
        <w:rPr>
          <w:rFonts w:asciiTheme="minorHAnsi" w:hAnsiTheme="minorHAnsi" w:cs="Arial"/>
          <w:b w:val="0"/>
          <w:sz w:val="22"/>
          <w:szCs w:val="22"/>
        </w:rPr>
        <w:t xml:space="preserve"> and messaging services </w:t>
      </w:r>
    </w:p>
    <w:p w14:paraId="095F24DF" w14:textId="77777777" w:rsidR="004F6A1B" w:rsidRPr="00222839" w:rsidRDefault="004F6A1B" w:rsidP="00CE6A3B">
      <w:pPr>
        <w:pStyle w:val="BodyTextIndent2"/>
        <w:ind w:left="720"/>
        <w:rPr>
          <w:rFonts w:asciiTheme="minorHAnsi" w:hAnsiTheme="minorHAnsi" w:cs="Arial"/>
          <w:b w:val="0"/>
          <w:sz w:val="22"/>
          <w:szCs w:val="22"/>
        </w:rPr>
      </w:pPr>
    </w:p>
    <w:p w14:paraId="479EC276" w14:textId="53155441" w:rsidR="004F6A1B" w:rsidRDefault="004F6A1B" w:rsidP="00CE6A3B">
      <w:pPr>
        <w:pStyle w:val="ListParagraph"/>
        <w:numPr>
          <w:ilvl w:val="0"/>
          <w:numId w:val="18"/>
        </w:numPr>
        <w:spacing w:after="0"/>
        <w:ind w:left="720"/>
        <w:jc w:val="both"/>
        <w:rPr>
          <w:rFonts w:cs="Arial"/>
        </w:rPr>
      </w:pPr>
      <w:r w:rsidRPr="00222839">
        <w:rPr>
          <w:rFonts w:cs="Arial"/>
        </w:rPr>
        <w:t>Promote the Social Prescribing service to ensure regular and appropriate referrals are received</w:t>
      </w:r>
    </w:p>
    <w:p w14:paraId="744E19BA" w14:textId="77777777" w:rsidR="00222839" w:rsidRPr="00222839" w:rsidRDefault="00222839" w:rsidP="00CE6A3B">
      <w:pPr>
        <w:pStyle w:val="ListParagraph"/>
        <w:spacing w:after="0"/>
        <w:jc w:val="both"/>
        <w:rPr>
          <w:rFonts w:cs="Arial"/>
        </w:rPr>
      </w:pPr>
    </w:p>
    <w:p w14:paraId="309713A4" w14:textId="77777777" w:rsidR="004F6A1B" w:rsidRPr="00222839" w:rsidRDefault="004F6A1B" w:rsidP="00CE6A3B">
      <w:pPr>
        <w:pStyle w:val="Default"/>
        <w:numPr>
          <w:ilvl w:val="0"/>
          <w:numId w:val="18"/>
        </w:numPr>
        <w:ind w:left="720"/>
        <w:rPr>
          <w:rFonts w:asciiTheme="minorHAnsi" w:hAnsiTheme="minorHAnsi"/>
          <w:color w:val="auto"/>
          <w:sz w:val="22"/>
          <w:szCs w:val="22"/>
        </w:rPr>
      </w:pPr>
      <w:r w:rsidRPr="00222839">
        <w:rPr>
          <w:rFonts w:asciiTheme="minorHAnsi" w:hAnsiTheme="minorHAnsi"/>
          <w:color w:val="auto"/>
          <w:sz w:val="22"/>
          <w:szCs w:val="22"/>
        </w:rPr>
        <w:t xml:space="preserve">Build relationships with key staff in GP practices, attending relevant meetings </w:t>
      </w:r>
    </w:p>
    <w:p w14:paraId="2ED94E33" w14:textId="77777777" w:rsidR="004F6A1B" w:rsidRPr="00222839" w:rsidRDefault="004F6A1B" w:rsidP="00CE6A3B">
      <w:pPr>
        <w:spacing w:after="0"/>
        <w:ind w:left="720"/>
        <w:rPr>
          <w:rFonts w:cs="Arial"/>
        </w:rPr>
      </w:pPr>
    </w:p>
    <w:p w14:paraId="6199C946" w14:textId="77777777" w:rsidR="004F6A1B" w:rsidRPr="00222839" w:rsidRDefault="004F6A1B" w:rsidP="00CE6A3B">
      <w:pPr>
        <w:numPr>
          <w:ilvl w:val="0"/>
          <w:numId w:val="18"/>
        </w:numPr>
        <w:spacing w:after="0"/>
        <w:ind w:left="720"/>
        <w:jc w:val="both"/>
        <w:rPr>
          <w:rFonts w:cs="Arial"/>
        </w:rPr>
      </w:pPr>
      <w:r w:rsidRPr="00222839">
        <w:rPr>
          <w:rFonts w:cs="Arial"/>
        </w:rPr>
        <w:t xml:space="preserve">Establish and maintain effective relationships with partners and stakeholders including health &amp; social care, voluntary sector, faith and community groups, local information and guidance services, local authority services and other support services. </w:t>
      </w:r>
    </w:p>
    <w:p w14:paraId="63CB7EF5" w14:textId="77777777" w:rsidR="004F6A1B" w:rsidRPr="00222839" w:rsidRDefault="004F6A1B" w:rsidP="00CE6A3B">
      <w:pPr>
        <w:pStyle w:val="ListParagraph"/>
        <w:spacing w:after="0"/>
        <w:rPr>
          <w:rFonts w:cs="Arial"/>
        </w:rPr>
      </w:pPr>
    </w:p>
    <w:p w14:paraId="65F4EDAC" w14:textId="370B99BA" w:rsidR="000E20ED" w:rsidRPr="00222839" w:rsidRDefault="004F6A1B" w:rsidP="00CE6A3B">
      <w:pPr>
        <w:pStyle w:val="ListParagraph"/>
        <w:numPr>
          <w:ilvl w:val="0"/>
          <w:numId w:val="18"/>
        </w:numPr>
        <w:spacing w:after="0"/>
        <w:ind w:left="720"/>
      </w:pPr>
      <w:r w:rsidRPr="00222839">
        <w:t xml:space="preserve">Work collaboratively with local partners to </w:t>
      </w:r>
      <w:r w:rsidR="009C016C" w:rsidRPr="00222839">
        <w:t>s</w:t>
      </w:r>
      <w:r w:rsidRPr="00222839">
        <w:t>upport local voluntary organisations and community groups to receive Social Prescribing referrals, increasing strength and capacity and to become sustainable ensuring that community assets are nurtured</w:t>
      </w:r>
    </w:p>
    <w:p w14:paraId="44149DC2" w14:textId="77777777" w:rsidR="000E20ED" w:rsidRPr="00222839" w:rsidRDefault="000E20ED" w:rsidP="00CE6A3B">
      <w:pPr>
        <w:pStyle w:val="ListParagraph"/>
        <w:spacing w:after="0"/>
      </w:pPr>
    </w:p>
    <w:p w14:paraId="7573736C" w14:textId="1D0F3D06" w:rsidR="004F6A1B" w:rsidRPr="00222839" w:rsidRDefault="00652EA8" w:rsidP="00CE6A3B">
      <w:pPr>
        <w:pStyle w:val="ListParagraph"/>
        <w:numPr>
          <w:ilvl w:val="0"/>
          <w:numId w:val="18"/>
        </w:numPr>
        <w:spacing w:after="0"/>
        <w:ind w:left="720"/>
      </w:pPr>
      <w:r w:rsidRPr="00222839">
        <w:t>Provide information to staff within the PCN about services available within the community and how patients can access them when required</w:t>
      </w:r>
    </w:p>
    <w:p w14:paraId="6CA4E199" w14:textId="77777777" w:rsidR="000E20ED" w:rsidRPr="00222839" w:rsidRDefault="000E20ED" w:rsidP="00CE6A3B">
      <w:pPr>
        <w:pStyle w:val="ListParagraph"/>
        <w:spacing w:after="0"/>
      </w:pPr>
    </w:p>
    <w:p w14:paraId="453EEE70" w14:textId="1F60CE37" w:rsidR="004F6A1B" w:rsidRPr="00222839" w:rsidRDefault="004F6A1B" w:rsidP="00CE6A3B">
      <w:pPr>
        <w:pStyle w:val="ListParagraph"/>
        <w:numPr>
          <w:ilvl w:val="0"/>
          <w:numId w:val="18"/>
        </w:numPr>
        <w:spacing w:after="0"/>
        <w:ind w:left="720"/>
      </w:pPr>
      <w:r w:rsidRPr="00222839">
        <w:t>Provide intelligence and feedback</w:t>
      </w:r>
      <w:r w:rsidR="009C016C" w:rsidRPr="00222839">
        <w:t xml:space="preserve"> </w:t>
      </w:r>
      <w:r w:rsidRPr="00222839">
        <w:t xml:space="preserve">with regards to any gaps or </w:t>
      </w:r>
      <w:r w:rsidR="009C016C" w:rsidRPr="00222839">
        <w:t xml:space="preserve">issues </w:t>
      </w:r>
      <w:r w:rsidRPr="00222839">
        <w:t>within local service provision</w:t>
      </w:r>
    </w:p>
    <w:p w14:paraId="1A4E0C64" w14:textId="77777777" w:rsidR="004F6A1B" w:rsidRPr="00222839" w:rsidRDefault="004F6A1B" w:rsidP="00CE6A3B">
      <w:pPr>
        <w:pStyle w:val="ListParagraph"/>
        <w:spacing w:after="0"/>
        <w:rPr>
          <w:rFonts w:cs="Arial"/>
        </w:rPr>
      </w:pPr>
    </w:p>
    <w:p w14:paraId="37B0D9F3" w14:textId="415FEB25" w:rsidR="00222839" w:rsidRPr="00222839" w:rsidRDefault="002A3D98" w:rsidP="00CE6A3B">
      <w:pPr>
        <w:numPr>
          <w:ilvl w:val="0"/>
          <w:numId w:val="18"/>
        </w:numPr>
        <w:ind w:left="720"/>
        <w:jc w:val="both"/>
        <w:rPr>
          <w:rFonts w:cs="Arial"/>
        </w:rPr>
      </w:pPr>
      <w:r w:rsidRPr="00222839">
        <w:rPr>
          <w:rFonts w:cs="Arial"/>
        </w:rPr>
        <w:t xml:space="preserve">Participate in training and service development activities and meet with other Social Prescribing Link Workers in </w:t>
      </w:r>
      <w:proofErr w:type="gramStart"/>
      <w:r w:rsidRPr="00222839">
        <w:rPr>
          <w:rFonts w:cs="Arial"/>
        </w:rPr>
        <w:t>North West</w:t>
      </w:r>
      <w:proofErr w:type="gramEnd"/>
      <w:r w:rsidRPr="00222839">
        <w:rPr>
          <w:rFonts w:cs="Arial"/>
        </w:rPr>
        <w:t xml:space="preserve"> Surrey, to share experience and promote best practice</w:t>
      </w:r>
    </w:p>
    <w:p w14:paraId="33B77725" w14:textId="77777777" w:rsidR="004F6A1B" w:rsidRPr="00222839" w:rsidRDefault="004F6A1B" w:rsidP="00CE6A3B">
      <w:pPr>
        <w:pStyle w:val="ListParagraph"/>
        <w:numPr>
          <w:ilvl w:val="0"/>
          <w:numId w:val="18"/>
        </w:numPr>
        <w:spacing w:after="0"/>
        <w:ind w:left="720"/>
        <w:jc w:val="both"/>
        <w:rPr>
          <w:rFonts w:cs="Arial"/>
        </w:rPr>
      </w:pPr>
      <w:r w:rsidRPr="00222839">
        <w:rPr>
          <w:rFonts w:cs="Arial"/>
        </w:rPr>
        <w:t>Work in full compliance of all relevant GP practice and borough council policies/guidelines including confidentiality, data protection and health and safety</w:t>
      </w:r>
    </w:p>
    <w:p w14:paraId="20628469" w14:textId="77777777" w:rsidR="004F6A1B" w:rsidRPr="00222839" w:rsidRDefault="004F6A1B" w:rsidP="00CE6A3B">
      <w:pPr>
        <w:pStyle w:val="ListParagraph"/>
        <w:spacing w:after="0"/>
        <w:rPr>
          <w:rFonts w:cs="Arial"/>
        </w:rPr>
      </w:pPr>
    </w:p>
    <w:p w14:paraId="52FFAE14" w14:textId="1F862D6D" w:rsidR="004F6A1B" w:rsidRDefault="004F6A1B" w:rsidP="00CE6A3B">
      <w:pPr>
        <w:pStyle w:val="ListParagraph"/>
        <w:numPr>
          <w:ilvl w:val="0"/>
          <w:numId w:val="18"/>
        </w:numPr>
        <w:spacing w:after="0"/>
        <w:ind w:left="720"/>
        <w:jc w:val="both"/>
        <w:rPr>
          <w:rFonts w:cs="Arial"/>
        </w:rPr>
      </w:pPr>
      <w:r w:rsidRPr="00222839">
        <w:rPr>
          <w:rFonts w:cs="Arial"/>
        </w:rPr>
        <w:t>Day to day responsibility for health and safety; including identifying risks to promote own safety as well as the safety of service users and other staff</w:t>
      </w:r>
    </w:p>
    <w:p w14:paraId="7989763A" w14:textId="77777777" w:rsidR="00222839" w:rsidRPr="00222839" w:rsidRDefault="00222839" w:rsidP="00CE6A3B">
      <w:pPr>
        <w:pStyle w:val="ListParagraph"/>
        <w:spacing w:after="0"/>
        <w:jc w:val="both"/>
        <w:rPr>
          <w:rFonts w:cs="Arial"/>
        </w:rPr>
      </w:pPr>
    </w:p>
    <w:p w14:paraId="3EE0B9DF" w14:textId="78E64D10" w:rsidR="007A16D2" w:rsidRDefault="004F6A1B" w:rsidP="00CE6A3B">
      <w:pPr>
        <w:numPr>
          <w:ilvl w:val="0"/>
          <w:numId w:val="18"/>
        </w:numPr>
        <w:spacing w:after="0"/>
        <w:ind w:left="720"/>
        <w:jc w:val="both"/>
        <w:rPr>
          <w:rFonts w:cs="Arial"/>
        </w:rPr>
      </w:pPr>
      <w:r w:rsidRPr="00222839">
        <w:rPr>
          <w:rFonts w:cs="Arial"/>
        </w:rPr>
        <w:t>Report any safeguarding concerns following established process and provide information as required to any subsequent investigation</w:t>
      </w:r>
    </w:p>
    <w:p w14:paraId="36275F77" w14:textId="77777777" w:rsidR="00222839" w:rsidRPr="00222839" w:rsidRDefault="00222839" w:rsidP="00222839">
      <w:pPr>
        <w:spacing w:after="0"/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3B7652" w14:paraId="26AA757B" w14:textId="77777777" w:rsidTr="00D42365">
        <w:trPr>
          <w:trHeight w:val="454"/>
        </w:trPr>
        <w:tc>
          <w:tcPr>
            <w:tcW w:w="10420" w:type="dxa"/>
          </w:tcPr>
          <w:p w14:paraId="4E478324" w14:textId="37BF7341" w:rsidR="003B7652" w:rsidRPr="00CE6A3B" w:rsidRDefault="00CE6A3B" w:rsidP="00222839">
            <w:pPr>
              <w:rPr>
                <w:rFonts w:ascii="Calibri" w:hAnsi="Calibri"/>
                <w:b/>
                <w:bCs/>
                <w:i/>
                <w:sz w:val="24"/>
                <w:szCs w:val="96"/>
              </w:rPr>
            </w:pPr>
            <w:r>
              <w:rPr>
                <w:rFonts w:ascii="Calibri" w:hAnsi="Calibri"/>
                <w:b/>
                <w:bCs/>
                <w:i/>
                <w:sz w:val="24"/>
                <w:szCs w:val="96"/>
              </w:rPr>
              <w:t>Please note:</w:t>
            </w:r>
          </w:p>
          <w:p w14:paraId="287EE1D5" w14:textId="77777777" w:rsidR="003B7652" w:rsidRPr="003B7652" w:rsidRDefault="007A16D2" w:rsidP="00222839">
            <w:pPr>
              <w:rPr>
                <w:rFonts w:ascii="Calibri" w:hAnsi="Calibri"/>
                <w:i/>
                <w:sz w:val="24"/>
                <w:szCs w:val="96"/>
              </w:rPr>
            </w:pPr>
            <w:r w:rsidRPr="007A16D2">
              <w:rPr>
                <w:rFonts w:ascii="Calibri" w:hAnsi="Calibri"/>
                <w:i/>
                <w:sz w:val="24"/>
                <w:szCs w:val="96"/>
              </w:rPr>
              <w:t xml:space="preserve">The above is a record of the main duties and responsibilities of this post at a given date. </w:t>
            </w:r>
            <w:r w:rsidR="004C3C41">
              <w:rPr>
                <w:rFonts w:ascii="Calibri" w:hAnsi="Calibri"/>
                <w:i/>
                <w:sz w:val="24"/>
                <w:szCs w:val="96"/>
              </w:rPr>
              <w:t>The job may naturally change to meet the requirements of the service. If the changes are more significant your manager will discuss this with you.</w:t>
            </w:r>
          </w:p>
        </w:tc>
      </w:tr>
    </w:tbl>
    <w:p w14:paraId="7469C600" w14:textId="77777777" w:rsidR="003B7652" w:rsidRDefault="003B7652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18DDD16F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10B8444D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0D2A41E3" w14:textId="77777777" w:rsidR="00CE6A3B" w:rsidRDefault="00CE6A3B" w:rsidP="007E190B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0D6BAB9" w14:textId="77777777" w:rsidR="00CE6A3B" w:rsidRDefault="00CE6A3B" w:rsidP="007E190B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A7BA449" w14:textId="292E5099" w:rsidR="007E190B" w:rsidRDefault="007E190B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>
        <w:rPr>
          <w:rFonts w:ascii="Cambria" w:hAnsi="Cambria"/>
          <w:b/>
          <w:sz w:val="32"/>
          <w:szCs w:val="96"/>
          <w:u w:val="single"/>
        </w:rPr>
        <w:lastRenderedPageBreak/>
        <w:t>Person Specification</w:t>
      </w:r>
    </w:p>
    <w:p w14:paraId="645A3C0A" w14:textId="77777777" w:rsidR="007F5A39" w:rsidRPr="007F5A39" w:rsidRDefault="007F5A39" w:rsidP="007E190B">
      <w:pPr>
        <w:spacing w:after="0" w:line="240" w:lineRule="auto"/>
        <w:rPr>
          <w:b/>
          <w:sz w:val="24"/>
          <w:szCs w:val="96"/>
          <w:u w:val="single"/>
        </w:rPr>
      </w:pPr>
    </w:p>
    <w:tbl>
      <w:tblPr>
        <w:tblStyle w:val="TableGrid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7F5A39" w:rsidRPr="00064710" w14:paraId="14F5769C" w14:textId="77777777" w:rsidTr="00374675">
        <w:tc>
          <w:tcPr>
            <w:tcW w:w="7905" w:type="dxa"/>
            <w:vMerge w:val="restart"/>
          </w:tcPr>
          <w:p w14:paraId="74BE3C52" w14:textId="5D0F549A" w:rsidR="007F5A39" w:rsidRPr="007F5A39" w:rsidRDefault="007F5A39" w:rsidP="004F568F">
            <w:pPr>
              <w:rPr>
                <w:rFonts w:ascii="Cambria" w:hAnsi="Cambria"/>
                <w:b/>
                <w:sz w:val="32"/>
                <w:szCs w:val="96"/>
              </w:rPr>
            </w:pPr>
            <w:r w:rsidRPr="007F5A39">
              <w:rPr>
                <w:rFonts w:ascii="Calibri" w:hAnsi="Calibri"/>
                <w:sz w:val="24"/>
                <w:szCs w:val="24"/>
              </w:rPr>
              <w:t xml:space="preserve">Please indicate whether the criteria </w:t>
            </w:r>
            <w:proofErr w:type="gramStart"/>
            <w:r w:rsidRPr="007F5A39">
              <w:rPr>
                <w:rFonts w:ascii="Calibri" w:hAnsi="Calibri"/>
                <w:sz w:val="24"/>
                <w:szCs w:val="24"/>
              </w:rPr>
              <w:t>is</w:t>
            </w:r>
            <w:proofErr w:type="gramEnd"/>
            <w:r w:rsidRPr="007F5A39">
              <w:rPr>
                <w:rFonts w:ascii="Calibri" w:hAnsi="Calibri"/>
                <w:sz w:val="24"/>
                <w:szCs w:val="24"/>
              </w:rPr>
              <w:t xml:space="preserve"> assessed </w:t>
            </w:r>
            <w:r w:rsidR="003E35AA">
              <w:rPr>
                <w:rFonts w:ascii="Calibri" w:hAnsi="Calibri"/>
                <w:sz w:val="24"/>
                <w:szCs w:val="24"/>
              </w:rPr>
              <w:t>in</w:t>
            </w:r>
            <w:r w:rsidRPr="007F5A39">
              <w:rPr>
                <w:rFonts w:ascii="Calibri" w:hAnsi="Calibri"/>
                <w:sz w:val="24"/>
                <w:szCs w:val="24"/>
              </w:rPr>
              <w:t xml:space="preserve"> the application for</w:t>
            </w:r>
            <w:r>
              <w:rPr>
                <w:rFonts w:ascii="Calibri" w:hAnsi="Calibri"/>
                <w:sz w:val="24"/>
                <w:szCs w:val="24"/>
              </w:rPr>
              <w:t>m</w:t>
            </w:r>
            <w:r w:rsidRPr="007F5A39">
              <w:rPr>
                <w:rFonts w:ascii="Calibri" w:hAnsi="Calibri"/>
                <w:sz w:val="24"/>
                <w:szCs w:val="24"/>
              </w:rPr>
              <w:t xml:space="preserve"> or interview by using a </w:t>
            </w:r>
            <w:r w:rsidRPr="007F5A39">
              <w:rPr>
                <w:rFonts w:ascii="Calibri" w:hAnsi="Calibri"/>
                <w:sz w:val="24"/>
                <w:szCs w:val="24"/>
              </w:rPr>
              <w:sym w:font="Wingdings" w:char="F0FC"/>
            </w:r>
            <w:r>
              <w:rPr>
                <w:rFonts w:ascii="Calibri" w:hAnsi="Calibri"/>
                <w:sz w:val="24"/>
                <w:szCs w:val="24"/>
              </w:rPr>
              <w:t xml:space="preserve"> in the columns to the right</w:t>
            </w:r>
            <w:r w:rsidRPr="007F5A39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411D1D2F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F5A39" w:rsidRPr="00064710" w14:paraId="0B4988B2" w14:textId="77777777" w:rsidTr="00374675">
        <w:tc>
          <w:tcPr>
            <w:tcW w:w="7905" w:type="dxa"/>
            <w:vMerge/>
            <w:tcBorders>
              <w:right w:val="single" w:sz="4" w:space="0" w:color="auto"/>
            </w:tcBorders>
          </w:tcPr>
          <w:p w14:paraId="27D3ECAE" w14:textId="77777777" w:rsidR="007F5A39" w:rsidRPr="007F5A39" w:rsidRDefault="007F5A39" w:rsidP="004F568F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6EC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Method of Assessment</w:t>
            </w:r>
          </w:p>
        </w:tc>
      </w:tr>
      <w:tr w:rsidR="007E190B" w:rsidRPr="00064710" w14:paraId="4117C2C2" w14:textId="77777777" w:rsidTr="00374675">
        <w:tc>
          <w:tcPr>
            <w:tcW w:w="7905" w:type="dxa"/>
            <w:tcBorders>
              <w:bottom w:val="single" w:sz="4" w:space="0" w:color="auto"/>
              <w:right w:val="single" w:sz="4" w:space="0" w:color="auto"/>
            </w:tcBorders>
          </w:tcPr>
          <w:p w14:paraId="1F0DC78B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FC8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App Form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603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Interview</w:t>
            </w:r>
          </w:p>
        </w:tc>
      </w:tr>
      <w:tr w:rsidR="007E190B" w:rsidRPr="00064710" w14:paraId="2E44748C" w14:textId="77777777" w:rsidTr="00374675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75515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  <w:r w:rsidRPr="00064710">
              <w:rPr>
                <w:rFonts w:ascii="Calibri" w:hAnsi="Calibri"/>
                <w:b/>
                <w:u w:val="single"/>
              </w:rPr>
              <w:t>Essential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7E0D8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98C9F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235934BD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337EEF6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D70D82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C2E32A1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19D1012A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048FFDE" w14:textId="77777777" w:rsidR="007E190B" w:rsidRPr="00A45974" w:rsidRDefault="00A45974" w:rsidP="00A45974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>Minimum 2 A levels or equivalent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B8CACE1" w14:textId="77777777" w:rsidR="007E190B" w:rsidRPr="00064710" w:rsidRDefault="00A45974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ED12DA5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0B0F015A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2266328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5B6A02B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A2B52A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156DD7F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0D22669" w14:textId="61EC0AF6" w:rsidR="00374675" w:rsidRDefault="00A45974" w:rsidP="004F568F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>GCSE Maths and English at grade C</w:t>
            </w:r>
            <w:r w:rsidR="003E35AA">
              <w:rPr>
                <w:lang w:eastAsia="en-GB"/>
              </w:rPr>
              <w:t xml:space="preserve"> or above</w:t>
            </w:r>
          </w:p>
          <w:p w14:paraId="739B4ABD" w14:textId="77777777" w:rsidR="00CE6A3B" w:rsidRDefault="00CE6A3B" w:rsidP="004F568F">
            <w:pPr>
              <w:rPr>
                <w:lang w:eastAsia="en-GB"/>
              </w:rPr>
            </w:pPr>
          </w:p>
          <w:p w14:paraId="20D37E49" w14:textId="77777777" w:rsidR="00CE6A3B" w:rsidRDefault="00CE6A3B" w:rsidP="004F568F">
            <w:pPr>
              <w:rPr>
                <w:lang w:eastAsia="en-GB"/>
              </w:rPr>
            </w:pPr>
            <w:r>
              <w:rPr>
                <w:lang w:eastAsia="en-GB"/>
              </w:rPr>
              <w:t>OR</w:t>
            </w:r>
          </w:p>
          <w:p w14:paraId="59B39902" w14:textId="278F3085" w:rsidR="007E190B" w:rsidRPr="00A45974" w:rsidRDefault="00A45974" w:rsidP="004F568F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Significant Workplace Experience in a similar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A01CE39" w14:textId="77777777" w:rsidR="007E190B" w:rsidRPr="00064710" w:rsidRDefault="00A45974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2513B26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5974" w:rsidRPr="00064710" w14:paraId="13E80FDE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C7C2FED" w14:textId="77777777" w:rsidR="00A45974" w:rsidRPr="00936C80" w:rsidRDefault="00A45974" w:rsidP="004F568F">
            <w:pPr>
              <w:rPr>
                <w:lang w:eastAsia="en-GB"/>
              </w:rPr>
            </w:pPr>
            <w:r>
              <w:rPr>
                <w:lang w:eastAsia="en-GB"/>
              </w:rPr>
              <w:t>role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34741F6" w14:textId="5B89A231" w:rsidR="00A45974" w:rsidRPr="00064710" w:rsidRDefault="00374675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FBA29F3" w14:textId="77777777" w:rsidR="00A45974" w:rsidRPr="00064710" w:rsidRDefault="00A45974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5974" w:rsidRPr="00064710" w14:paraId="126D6EEB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8B58127" w14:textId="77777777" w:rsidR="00A45974" w:rsidRPr="00936C80" w:rsidRDefault="00A45974" w:rsidP="004F568F">
            <w:pPr>
              <w:rPr>
                <w:lang w:eastAsia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6289646" w14:textId="77777777" w:rsidR="00A45974" w:rsidRPr="00064710" w:rsidRDefault="00A45974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E19E4DB" w14:textId="77777777" w:rsidR="00A45974" w:rsidRPr="00064710" w:rsidRDefault="00A45974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378245CB" w14:textId="77777777" w:rsidTr="00374675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A2F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E203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7BF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1D06780E" w14:textId="77777777" w:rsidTr="00374675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C4F05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Essential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0373A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37FB1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72EC5879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C3860E5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9E9E052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C4F8D4B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682877B6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00B1F2D" w14:textId="293EC426" w:rsidR="007E190B" w:rsidRPr="00A45974" w:rsidRDefault="00A45974" w:rsidP="00A45974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>Experience of wo</w:t>
            </w:r>
            <w:r>
              <w:rPr>
                <w:lang w:eastAsia="en-GB"/>
              </w:rPr>
              <w:t xml:space="preserve">rking in </w:t>
            </w:r>
            <w:r w:rsidR="00CD6FB5">
              <w:rPr>
                <w:lang w:eastAsia="en-GB"/>
              </w:rPr>
              <w:t xml:space="preserve">a </w:t>
            </w:r>
            <w:r w:rsidRPr="00936C80">
              <w:rPr>
                <w:lang w:eastAsia="en-GB"/>
              </w:rPr>
              <w:t xml:space="preserve">local </w:t>
            </w:r>
            <w:r w:rsidR="00374675" w:rsidRPr="00936C80">
              <w:rPr>
                <w:lang w:eastAsia="en-GB"/>
              </w:rPr>
              <w:t>government</w:t>
            </w:r>
            <w:r w:rsidR="00CD6FB5">
              <w:rPr>
                <w:lang w:eastAsia="en-GB"/>
              </w:rPr>
              <w:t xml:space="preserve">, </w:t>
            </w:r>
            <w:proofErr w:type="gramStart"/>
            <w:r w:rsidR="00C1541A" w:rsidRPr="00936C80">
              <w:rPr>
                <w:lang w:eastAsia="en-GB"/>
              </w:rPr>
              <w:t>health</w:t>
            </w:r>
            <w:proofErr w:type="gramEnd"/>
            <w:r w:rsidR="00C1541A">
              <w:rPr>
                <w:lang w:eastAsia="en-GB"/>
              </w:rPr>
              <w:t xml:space="preserve"> </w:t>
            </w:r>
            <w:r w:rsidR="00CD6FB5">
              <w:rPr>
                <w:lang w:eastAsia="en-GB"/>
              </w:rPr>
              <w:t>or voluntary</w:t>
            </w:r>
            <w:r w:rsidR="00CD6FB5" w:rsidRPr="00936C80">
              <w:rPr>
                <w:lang w:eastAsia="en-GB"/>
              </w:rPr>
              <w:t xml:space="preserve"> sector</w:t>
            </w:r>
            <w:r w:rsidR="00CD6FB5">
              <w:rPr>
                <w:lang w:eastAsia="en-GB"/>
              </w:rPr>
              <w:t xml:space="preserve"> setting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5B8000C" w14:textId="77777777" w:rsidR="007E190B" w:rsidRPr="00064710" w:rsidRDefault="00A45974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EE6D28F" w14:textId="77777777" w:rsidR="007E190B" w:rsidRPr="00A45974" w:rsidRDefault="00A45974" w:rsidP="00A45974">
            <w:pPr>
              <w:jc w:val="center"/>
              <w:rPr>
                <w:lang w:eastAsia="en-GB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7E190B" w:rsidRPr="00064710" w14:paraId="07B9B613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385710F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4F3486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69EDE0F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79EE8577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A8ABB75" w14:textId="77777777" w:rsidR="007E190B" w:rsidRPr="00A45974" w:rsidRDefault="00A45974" w:rsidP="00A45974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>Experience of working in a support or advice role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7467F6D" w14:textId="77777777" w:rsidR="007E190B" w:rsidRPr="00064710" w:rsidRDefault="00A45974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6933F42" w14:textId="77777777" w:rsidR="007E190B" w:rsidRPr="00A45974" w:rsidRDefault="00A45974" w:rsidP="00A45974">
            <w:pPr>
              <w:jc w:val="center"/>
              <w:rPr>
                <w:lang w:eastAsia="en-GB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A45974" w:rsidRPr="00064710" w14:paraId="446D0889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E8312CD" w14:textId="77777777" w:rsidR="00A45974" w:rsidRPr="00064710" w:rsidRDefault="00A45974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57523F5" w14:textId="77777777" w:rsidR="00A45974" w:rsidRPr="00064710" w:rsidRDefault="00A45974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9F12D8B" w14:textId="77777777" w:rsidR="00A45974" w:rsidRPr="00064710" w:rsidRDefault="00A45974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5974" w:rsidRPr="00064710" w14:paraId="6B185BCF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5ED3DD9" w14:textId="77777777" w:rsidR="00A45974" w:rsidRPr="00A45974" w:rsidRDefault="00A45974" w:rsidP="00A45974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>Experience of working in a customer facing role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96A6BA7" w14:textId="77777777" w:rsidR="00A45974" w:rsidRPr="00064710" w:rsidRDefault="00A45974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2B09387" w14:textId="77777777" w:rsidR="00A45974" w:rsidRPr="00A45974" w:rsidRDefault="00A45974" w:rsidP="00A45974">
            <w:pPr>
              <w:jc w:val="center"/>
              <w:rPr>
                <w:lang w:eastAsia="en-GB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A45974" w:rsidRPr="00064710" w14:paraId="4E0E2235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0871621" w14:textId="77777777" w:rsidR="00A45974" w:rsidRPr="00064710" w:rsidRDefault="00A45974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68A243" w14:textId="77777777" w:rsidR="00A45974" w:rsidRPr="00064710" w:rsidRDefault="00A45974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E25DFF9" w14:textId="77777777" w:rsidR="00A45974" w:rsidRPr="00064710" w:rsidRDefault="00A45974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28A45B23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F43216D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D6601BB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D5D2013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C30D758" w14:textId="77777777" w:rsidTr="00374675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90649" w14:textId="17401157" w:rsidR="004B3A80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Desirable</w:t>
            </w: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FDAE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AC9E9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CF55432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8C233CB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D49D102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3E4008A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3DF82C02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AABE67E" w14:textId="77777777" w:rsidR="007E190B" w:rsidRPr="00064710" w:rsidRDefault="00A45974" w:rsidP="00A45974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lang w:eastAsia="en-GB"/>
              </w:rPr>
              <w:t>K</w:t>
            </w:r>
            <w:r w:rsidRPr="00936C80">
              <w:rPr>
                <w:lang w:eastAsia="en-GB"/>
              </w:rPr>
              <w:t>nowledge of voluntary and community services available in</w:t>
            </w:r>
            <w:r>
              <w:rPr>
                <w:lang w:eastAsia="en-GB"/>
              </w:rPr>
              <w:t xml:space="preserve"> Runnymede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FB651EE" w14:textId="77777777" w:rsidR="007E190B" w:rsidRPr="00064710" w:rsidRDefault="00DD342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071EF5A" w14:textId="57D08125" w:rsidR="007E190B" w:rsidRPr="00064710" w:rsidRDefault="00826388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7E190B" w:rsidRPr="00064710" w14:paraId="3905D977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4BD1A2C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5A1F4D6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13A6A1F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6EA4E9FF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511B529" w14:textId="77777777" w:rsidR="009925C1" w:rsidRDefault="00A45974" w:rsidP="00A45974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>Kn</w:t>
            </w:r>
            <w:r>
              <w:rPr>
                <w:lang w:eastAsia="en-GB"/>
              </w:rPr>
              <w:t>owledge of services provided by Runnymede</w:t>
            </w:r>
            <w:r w:rsidRPr="002F5F1C">
              <w:rPr>
                <w:color w:val="FF0000"/>
                <w:lang w:eastAsia="en-GB"/>
              </w:rPr>
              <w:t xml:space="preserve"> </w:t>
            </w:r>
            <w:r w:rsidRPr="00936C80">
              <w:rPr>
                <w:lang w:eastAsia="en-GB"/>
              </w:rPr>
              <w:t>Borough Council</w:t>
            </w:r>
          </w:p>
          <w:p w14:paraId="30747888" w14:textId="5C438352" w:rsidR="00467516" w:rsidRPr="00A45974" w:rsidRDefault="00467516" w:rsidP="00A45974">
            <w:pPr>
              <w:rPr>
                <w:lang w:eastAsia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F40D796" w14:textId="24656C97" w:rsidR="007E190B" w:rsidRPr="00064710" w:rsidRDefault="00467516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59BA20E" w14:textId="74F74546" w:rsidR="007E190B" w:rsidRPr="00064710" w:rsidRDefault="00826388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A45974" w:rsidRPr="00064710" w14:paraId="0CCC1C74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893C043" w14:textId="77777777" w:rsidR="00A45974" w:rsidRDefault="00467516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Understanding or experience of Social Prescribing or similar models</w:t>
            </w:r>
          </w:p>
          <w:p w14:paraId="47B1BFAA" w14:textId="335FAD9A" w:rsidR="00467516" w:rsidRPr="00064710" w:rsidRDefault="00467516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12C97C" w14:textId="61A04352" w:rsidR="00A45974" w:rsidRPr="00064710" w:rsidRDefault="00467516" w:rsidP="009925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lang w:eastAsia="en-GB"/>
              </w:rPr>
              <w:t xml:space="preserve">         </w:t>
            </w: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0C83CAA" w14:textId="4D2990A8" w:rsidR="00A45974" w:rsidRPr="00064710" w:rsidRDefault="00826388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A45974" w:rsidRPr="00064710" w14:paraId="34ED541C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D6C47B0" w14:textId="36ABB0EC" w:rsidR="00A45974" w:rsidRPr="00DD342F" w:rsidRDefault="00DD342F" w:rsidP="00DD342F">
            <w:pPr>
              <w:rPr>
                <w:lang w:eastAsia="en-GB"/>
              </w:rPr>
            </w:pPr>
            <w:r>
              <w:rPr>
                <w:lang w:eastAsia="en-GB"/>
              </w:rPr>
              <w:t>Knowledge of the communities within the</w:t>
            </w:r>
            <w:r w:rsidR="00C1541A">
              <w:rPr>
                <w:lang w:eastAsia="en-GB"/>
              </w:rPr>
              <w:t xml:space="preserve"> Primary Care Network</w:t>
            </w:r>
            <w:r>
              <w:rPr>
                <w:lang w:eastAsia="en-GB"/>
              </w:rPr>
              <w:t xml:space="preserve"> </w:t>
            </w:r>
            <w:r w:rsidR="00C1541A">
              <w:rPr>
                <w:lang w:eastAsia="en-GB"/>
              </w:rPr>
              <w:t>(</w:t>
            </w:r>
            <w:r>
              <w:rPr>
                <w:lang w:eastAsia="en-GB"/>
              </w:rPr>
              <w:t>PCN</w:t>
            </w:r>
            <w:r w:rsidR="00C1541A">
              <w:rPr>
                <w:lang w:eastAsia="en-GB"/>
              </w:rPr>
              <w:t>)</w:t>
            </w:r>
            <w:r>
              <w:rPr>
                <w:lang w:eastAsia="en-GB"/>
              </w:rPr>
              <w:t xml:space="preserve"> area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E06F199" w14:textId="77777777" w:rsidR="00A45974" w:rsidRPr="00064710" w:rsidRDefault="00DD342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B6F3913" w14:textId="4E9F4B2E" w:rsidR="00A45974" w:rsidRPr="00064710" w:rsidRDefault="00826388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A45974" w:rsidRPr="00064710" w14:paraId="39070824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FC09795" w14:textId="77777777" w:rsidR="00A45974" w:rsidRPr="00064710" w:rsidRDefault="00A45974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A83E7B3" w14:textId="77777777" w:rsidR="00A45974" w:rsidRPr="00064710" w:rsidRDefault="00A45974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15C9D2F" w14:textId="77777777" w:rsidR="00A45974" w:rsidRPr="00064710" w:rsidRDefault="00A45974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42F" w:rsidRPr="00064710" w14:paraId="2ADC23E3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DD00E6A" w14:textId="13513DA1" w:rsidR="00DD342F" w:rsidRPr="00DD342F" w:rsidRDefault="00DD342F" w:rsidP="00DD342F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>Understanding of PCNs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1C5E156" w14:textId="77777777" w:rsidR="00DD342F" w:rsidRPr="00064710" w:rsidRDefault="00DD342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F625823" w14:textId="50140EDC" w:rsidR="00DD342F" w:rsidRPr="00064710" w:rsidRDefault="00826388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DD342F" w:rsidRPr="00064710" w14:paraId="02CC5209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A5987F7" w14:textId="77777777" w:rsidR="00DD342F" w:rsidRPr="00064710" w:rsidRDefault="00DD342F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7C1FA07" w14:textId="77777777" w:rsidR="00DD342F" w:rsidRPr="00064710" w:rsidRDefault="00DD342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7A1BC94" w14:textId="77777777" w:rsidR="00DD342F" w:rsidRPr="00064710" w:rsidRDefault="00DD342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42F" w:rsidRPr="00064710" w14:paraId="5FEB9AA8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373D5B2" w14:textId="5B127C0B" w:rsidR="00DD342F" w:rsidRPr="00DD342F" w:rsidRDefault="00DD342F" w:rsidP="00DD342F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>Experience of working with people who are vulnerable due to age, disability, mental health or for any other reason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DD9F0DF" w14:textId="77777777" w:rsidR="00DD342F" w:rsidRPr="00064710" w:rsidRDefault="00DD342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CFA7872" w14:textId="2C8ADE06" w:rsidR="00DD342F" w:rsidRPr="00064710" w:rsidRDefault="00826388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7E190B" w:rsidRPr="00064710" w14:paraId="0F01267C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C9918F0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85E9D55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0C6A051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3363AA02" w14:textId="77777777" w:rsidTr="00374675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E1B9E" w14:textId="77777777" w:rsidR="007E190B" w:rsidRPr="00064710" w:rsidRDefault="00A41D8F" w:rsidP="004F568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Essential </w:t>
            </w:r>
            <w:r w:rsidR="00F521EF">
              <w:rPr>
                <w:rFonts w:ascii="Calibri" w:hAnsi="Calibri"/>
                <w:b/>
                <w:sz w:val="24"/>
                <w:szCs w:val="24"/>
                <w:u w:val="single"/>
              </w:rPr>
              <w:t>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65B8F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34AA6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01D54F2C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17DD131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2CEFCB3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9C125D5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F521EF" w:rsidRPr="00064710" w14:paraId="2DE39876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F4B08F3" w14:textId="77777777" w:rsidR="00F521EF" w:rsidRPr="00CE6A3B" w:rsidRDefault="00F521EF" w:rsidP="004F568F">
            <w:pPr>
              <w:rPr>
                <w:rFonts w:ascii="Calibri" w:hAnsi="Calibri" w:cs="Arial"/>
              </w:rPr>
            </w:pPr>
            <w:r w:rsidRPr="00CE6A3B">
              <w:rPr>
                <w:rFonts w:ascii="Calibri" w:hAnsi="Calibri" w:cs="Arial"/>
              </w:rPr>
              <w:t>Flexible and adaptable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CA33470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C1F754C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68388794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F5CB505" w14:textId="77777777" w:rsidR="00F521EF" w:rsidRPr="00CE6A3B" w:rsidRDefault="00F521EF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2994599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D0FF50A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5FE39EE5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BB617D9" w14:textId="77777777" w:rsidR="00F521EF" w:rsidRPr="00CE6A3B" w:rsidRDefault="00F521EF" w:rsidP="004F568F">
            <w:pPr>
              <w:rPr>
                <w:rFonts w:ascii="Calibri" w:hAnsi="Calibri"/>
              </w:rPr>
            </w:pPr>
            <w:r w:rsidRPr="00CE6A3B">
              <w:rPr>
                <w:rFonts w:ascii="Calibri" w:hAnsi="Calibri"/>
              </w:rPr>
              <w:t>Able to work under pressure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3BDCCED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36B8BEB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3D07A91B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A539FF1" w14:textId="77777777" w:rsidR="00F521EF" w:rsidRPr="00CE6A3B" w:rsidRDefault="00F521EF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52BB7D8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938A465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11BBF6C3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9EF58A8" w14:textId="77777777" w:rsidR="00F521EF" w:rsidRPr="00CE6A3B" w:rsidRDefault="00F521EF" w:rsidP="004F568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E6A3B">
              <w:rPr>
                <w:rFonts w:ascii="Calibri" w:hAnsi="Calibri"/>
                <w:sz w:val="22"/>
                <w:szCs w:val="22"/>
              </w:rPr>
              <w:t>Able to use own initiative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E291BCC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A1C10C4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2010B797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2F65C38" w14:textId="77777777" w:rsidR="00F521EF" w:rsidRPr="00CE6A3B" w:rsidRDefault="00F521EF" w:rsidP="004F568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03CD830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93E8F6A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4D3CCFF2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C5FECC7" w14:textId="77777777" w:rsidR="00F521EF" w:rsidRPr="00CE6A3B" w:rsidRDefault="00F521EF" w:rsidP="004F568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E6A3B">
              <w:rPr>
                <w:rFonts w:ascii="Calibri" w:hAnsi="Calibri"/>
                <w:sz w:val="22"/>
                <w:szCs w:val="22"/>
              </w:rPr>
              <w:t>Honest and reliable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70B6EBA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CA3A6A5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6157E128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102661C" w14:textId="77777777" w:rsidR="00F521EF" w:rsidRPr="00CE6A3B" w:rsidRDefault="00F521EF" w:rsidP="004F568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41408ED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FA7543F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6FFFDF78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365A76F" w14:textId="77777777" w:rsidR="00F521EF" w:rsidRPr="00CE6A3B" w:rsidRDefault="00F521EF" w:rsidP="004F568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E6A3B">
              <w:rPr>
                <w:rFonts w:ascii="Calibri" w:hAnsi="Calibri"/>
                <w:sz w:val="22"/>
                <w:szCs w:val="22"/>
              </w:rPr>
              <w:lastRenderedPageBreak/>
              <w:t>Articulate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DD4F003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D08A71E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746E0C2F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62CF9ED" w14:textId="77777777" w:rsidR="00F521EF" w:rsidRPr="00CE6A3B" w:rsidRDefault="00F521EF" w:rsidP="004F568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67CD256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D9E13E5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7770A072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CD658AB" w14:textId="77777777" w:rsidR="00F521EF" w:rsidRPr="00CE6A3B" w:rsidRDefault="00F521EF" w:rsidP="004F568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E6A3B">
              <w:rPr>
                <w:rFonts w:ascii="Calibri" w:hAnsi="Calibri"/>
                <w:sz w:val="22"/>
                <w:szCs w:val="22"/>
              </w:rPr>
              <w:t>Pro-active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61459B0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5C165F1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4C0CC25C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665431C" w14:textId="77777777" w:rsidR="00F521EF" w:rsidRPr="00CE6A3B" w:rsidRDefault="00F521EF" w:rsidP="00F57898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5CC6D34" w14:textId="77777777" w:rsidR="00F521EF" w:rsidRPr="00064710" w:rsidRDefault="00F521E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E862A2D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04D0388C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0891E3D" w14:textId="77777777" w:rsidR="00F521EF" w:rsidRPr="00CE6A3B" w:rsidRDefault="00F521EF" w:rsidP="00F57898">
            <w:pPr>
              <w:rPr>
                <w:rFonts w:ascii="Calibri" w:hAnsi="Calibri" w:cs="Arial"/>
              </w:rPr>
            </w:pPr>
            <w:r w:rsidRPr="00CE6A3B">
              <w:rPr>
                <w:rFonts w:ascii="Calibri" w:hAnsi="Calibri" w:cs="Arial"/>
              </w:rPr>
              <w:t>Calm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759C355" w14:textId="77777777" w:rsidR="00F521EF" w:rsidRPr="00064710" w:rsidRDefault="00F521E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9A75E0F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018308E8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3161732" w14:textId="77777777" w:rsidR="00F521EF" w:rsidRPr="00CE6A3B" w:rsidRDefault="00F521EF" w:rsidP="00F57898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184A5D1" w14:textId="77777777" w:rsidR="00F521EF" w:rsidRPr="00064710" w:rsidRDefault="00F521E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8DA15CD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12337459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AF95EEF" w14:textId="77777777" w:rsidR="00F521EF" w:rsidRPr="00CE6A3B" w:rsidRDefault="00F521EF" w:rsidP="00F5789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E6A3B">
              <w:rPr>
                <w:rFonts w:ascii="Calibri" w:hAnsi="Calibri"/>
                <w:sz w:val="22"/>
                <w:szCs w:val="22"/>
              </w:rPr>
              <w:t>Reassuring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BBBC892" w14:textId="77777777" w:rsidR="00F521EF" w:rsidRPr="00064710" w:rsidRDefault="00F521E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E0A74E7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2AE701FE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B03372C" w14:textId="77777777" w:rsidR="00F521EF" w:rsidRPr="00CE6A3B" w:rsidRDefault="00F521EF" w:rsidP="00F57898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5687FB5" w14:textId="77777777" w:rsidR="00F521EF" w:rsidRPr="00064710" w:rsidRDefault="00F521E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4F80BBC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01801FA6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B4426D1" w14:textId="77777777" w:rsidR="00F521EF" w:rsidRPr="00CE6A3B" w:rsidRDefault="00F521EF" w:rsidP="00F5789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E6A3B">
              <w:rPr>
                <w:rFonts w:ascii="Calibri" w:hAnsi="Calibri"/>
                <w:sz w:val="22"/>
                <w:szCs w:val="22"/>
              </w:rPr>
              <w:t>Personable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0920CF3" w14:textId="77777777" w:rsidR="00F521EF" w:rsidRPr="00064710" w:rsidRDefault="00F521E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E0784D7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229F9253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B4AE5C5" w14:textId="77777777" w:rsidR="00F521EF" w:rsidRPr="00CE6A3B" w:rsidRDefault="00F521EF" w:rsidP="00F57898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35D6E76" w14:textId="77777777" w:rsidR="00F521EF" w:rsidRPr="00064710" w:rsidRDefault="00F521E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2639D8A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02DCFDA1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EBD2FCD" w14:textId="77777777" w:rsidR="00F521EF" w:rsidRPr="00CE6A3B" w:rsidRDefault="00F521EF" w:rsidP="00F5789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E6A3B">
              <w:rPr>
                <w:rFonts w:ascii="Calibri" w:hAnsi="Calibri"/>
                <w:sz w:val="22"/>
                <w:szCs w:val="22"/>
              </w:rPr>
              <w:t>Empathetic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ADFA76A" w14:textId="77777777" w:rsidR="00F521EF" w:rsidRPr="00064710" w:rsidRDefault="00F521E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1263C1E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1E42A9AF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2FABBD6" w14:textId="77777777" w:rsidR="00F521EF" w:rsidRPr="00CE6A3B" w:rsidRDefault="00F521EF" w:rsidP="00F57898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8050359" w14:textId="77777777" w:rsidR="00F521EF" w:rsidRPr="00064710" w:rsidRDefault="00F521E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35E2874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200EC0D8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E74533F" w14:textId="77777777" w:rsidR="00F521EF" w:rsidRPr="00CE6A3B" w:rsidRDefault="00F521EF" w:rsidP="00F5789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E6A3B">
              <w:rPr>
                <w:rFonts w:ascii="Calibri" w:hAnsi="Calibri"/>
                <w:sz w:val="22"/>
                <w:szCs w:val="22"/>
              </w:rPr>
              <w:t>Understanding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FAA8C53" w14:textId="77777777" w:rsidR="00F521EF" w:rsidRPr="00064710" w:rsidRDefault="00F521E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CD6307B" w14:textId="77777777" w:rsidR="00F521EF" w:rsidRPr="00064710" w:rsidRDefault="00F521EF" w:rsidP="00136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7C144020" w14:textId="77777777" w:rsidTr="00374675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CFFE" w14:textId="77777777" w:rsidR="00F521EF" w:rsidRPr="00064710" w:rsidRDefault="00F521EF" w:rsidP="00F5789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45F2" w14:textId="77777777" w:rsidR="00F521EF" w:rsidRPr="00064710" w:rsidRDefault="00F521E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4CB9" w14:textId="77777777" w:rsidR="00F521EF" w:rsidRPr="00064710" w:rsidRDefault="00F521E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57092F68" w14:textId="77777777" w:rsidTr="00374675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D138C" w14:textId="77777777" w:rsidR="00F521EF" w:rsidRPr="00064710" w:rsidRDefault="00F521EF" w:rsidP="00F521E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Essential Skills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3A885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4B4CE" w14:textId="77777777" w:rsidR="00F521EF" w:rsidRPr="00064710" w:rsidRDefault="00F521EF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F521EF" w:rsidRPr="00064710" w14:paraId="7680A52F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66C8A31" w14:textId="77777777" w:rsidR="00F521EF" w:rsidRPr="00064710" w:rsidRDefault="00F521EF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CFE325F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EDF45AC" w14:textId="77777777" w:rsidR="00F521EF" w:rsidRPr="00064710" w:rsidRDefault="00F521EF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F521EF" w:rsidRPr="00064710" w14:paraId="10D52EAF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04DE3C6" w14:textId="77777777" w:rsidR="00F521EF" w:rsidRPr="00F521EF" w:rsidRDefault="00F521EF" w:rsidP="004F568F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>Excellent written and verbal communication skills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7280BC2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657C960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52A9E660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D6CBC00" w14:textId="77777777" w:rsidR="00F521EF" w:rsidRPr="00064710" w:rsidRDefault="00F521EF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F753055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DCBE8AC" w14:textId="77777777" w:rsidR="00F521EF" w:rsidRPr="00064710" w:rsidRDefault="00F521EF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F521EF" w:rsidRPr="00064710" w14:paraId="490E8004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AF7CD2F" w14:textId="77777777" w:rsidR="00F521EF" w:rsidRPr="00F521EF" w:rsidRDefault="00F521EF" w:rsidP="00F521EF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>Ability to tailor communication to different audience types and situations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F877BE2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BA877F3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2C99409F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C51F205" w14:textId="77777777" w:rsidR="00F521EF" w:rsidRPr="00064710" w:rsidRDefault="00F521EF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EBE781D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C12E99E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167F1C12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E50CEBC" w14:textId="77777777" w:rsidR="00F521EF" w:rsidRPr="00F521EF" w:rsidRDefault="00F521EF" w:rsidP="00F521EF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>Good computer skills including ability to use all Microsoft programmes confidently in particular Word and Excel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D17B3E6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15D61D6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29ABE4B9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564A366" w14:textId="77777777" w:rsidR="00F521EF" w:rsidRPr="00064710" w:rsidRDefault="00F521EF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0DD5720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6641CA5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207419E5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2724D92" w14:textId="62D86BD6" w:rsidR="00F521EF" w:rsidRPr="00F521EF" w:rsidRDefault="00F521EF" w:rsidP="00F521EF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 xml:space="preserve">Excellent organisation skills including the ability to prioritise and plan own workload, manage multiple tasks and </w:t>
            </w:r>
            <w:r w:rsidR="00F20C62">
              <w:rPr>
                <w:lang w:eastAsia="en-GB"/>
              </w:rPr>
              <w:t xml:space="preserve">effective </w:t>
            </w:r>
            <w:r w:rsidRPr="00936C80">
              <w:rPr>
                <w:lang w:eastAsia="en-GB"/>
              </w:rPr>
              <w:t>time</w:t>
            </w:r>
            <w:r w:rsidR="00E15AE3">
              <w:rPr>
                <w:lang w:eastAsia="en-GB"/>
              </w:rPr>
              <w:t xml:space="preserve"> </w:t>
            </w:r>
            <w:r w:rsidR="00F20C62">
              <w:rPr>
                <w:lang w:eastAsia="en-GB"/>
              </w:rPr>
              <w:t>management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616B501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02AAE79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5C4DAB89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1123A0A" w14:textId="77777777" w:rsidR="00F521EF" w:rsidRPr="00064710" w:rsidRDefault="00F521EF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3494EEC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E65A3E7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1EF" w:rsidRPr="00064710" w14:paraId="094BDC38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ABA7FB6" w14:textId="69EA0216" w:rsidR="00F521EF" w:rsidRPr="00064710" w:rsidRDefault="00F521EF" w:rsidP="004F568F">
            <w:pPr>
              <w:pStyle w:val="Default"/>
              <w:rPr>
                <w:rFonts w:ascii="Calibri" w:hAnsi="Calibri"/>
              </w:rPr>
            </w:pPr>
            <w:r w:rsidRPr="00936C80">
              <w:rPr>
                <w:rFonts w:asciiTheme="minorHAnsi" w:hAnsiTheme="minorHAnsi"/>
                <w:sz w:val="22"/>
                <w:szCs w:val="22"/>
              </w:rPr>
              <w:t>Ability to work independently and unsupervised</w:t>
            </w:r>
            <w:r w:rsidR="007660AC">
              <w:rPr>
                <w:rFonts w:asciiTheme="minorHAnsi" w:hAnsiTheme="minorHAnsi"/>
                <w:sz w:val="22"/>
                <w:szCs w:val="22"/>
              </w:rPr>
              <w:t>;</w:t>
            </w:r>
            <w:r w:rsidRPr="00936C80">
              <w:rPr>
                <w:rFonts w:asciiTheme="minorHAnsi" w:hAnsiTheme="minorHAnsi"/>
                <w:sz w:val="22"/>
                <w:szCs w:val="22"/>
              </w:rPr>
              <w:t xml:space="preserve"> remotely and within an office environment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FC233E5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84DBCAB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</w:tr>
      <w:tr w:rsidR="00F521EF" w:rsidRPr="00064710" w14:paraId="2E30C320" w14:textId="77777777" w:rsidTr="00374675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9A1" w14:textId="77777777" w:rsidR="00F521EF" w:rsidRPr="00064710" w:rsidRDefault="00F521EF" w:rsidP="004F568F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728E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5A1" w14:textId="77777777" w:rsidR="00F521EF" w:rsidRPr="00064710" w:rsidRDefault="00F521EF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16066E18" w14:textId="77777777" w:rsidTr="00374675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A80F6" w14:textId="77777777" w:rsidR="00A41D8F" w:rsidRPr="00064710" w:rsidRDefault="00A41D8F" w:rsidP="00F521E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Desirable </w:t>
            </w:r>
            <w:r w:rsidR="00F521EF">
              <w:rPr>
                <w:rFonts w:ascii="Calibri" w:hAnsi="Calibri"/>
                <w:b/>
                <w:sz w:val="24"/>
                <w:szCs w:val="24"/>
                <w:u w:val="single"/>
              </w:rPr>
              <w:t>Skills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22B24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DF2BF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62D1A3A0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FBA46FE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42418E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0D9E923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04311C1C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F7F2F02" w14:textId="77777777" w:rsidR="00A41D8F" w:rsidRPr="00064710" w:rsidRDefault="00F521EF" w:rsidP="00F57898">
            <w:pPr>
              <w:rPr>
                <w:rFonts w:ascii="Calibri" w:hAnsi="Calibri" w:cs="Arial"/>
                <w:sz w:val="24"/>
                <w:szCs w:val="24"/>
              </w:rPr>
            </w:pPr>
            <w:r w:rsidRPr="00936C80">
              <w:rPr>
                <w:lang w:eastAsia="en-GB"/>
              </w:rPr>
              <w:t>Experience of working with bespoke software or database systems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D3B1932" w14:textId="515EE886" w:rsidR="00A41D8F" w:rsidRPr="00064710" w:rsidRDefault="007660AC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C80">
              <w:rPr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F427938" w14:textId="77777777" w:rsidR="00A41D8F" w:rsidRPr="00F521EF" w:rsidRDefault="00F521EF" w:rsidP="00F521EF">
            <w:pPr>
              <w:jc w:val="center"/>
              <w:rPr>
                <w:rFonts w:ascii="Calibri" w:hAnsi="Calibri"/>
                <w:lang w:eastAsia="en-GB"/>
              </w:rPr>
            </w:pPr>
            <w:r w:rsidRPr="00936C80">
              <w:rPr>
                <w:rFonts w:ascii="Calibri" w:hAnsi="Calibri"/>
                <w:lang w:eastAsia="en-GB"/>
              </w:rPr>
              <w:t>√</w:t>
            </w:r>
          </w:p>
        </w:tc>
      </w:tr>
      <w:tr w:rsidR="00A41D8F" w:rsidRPr="00064710" w14:paraId="43F6C34A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B100B93" w14:textId="77777777" w:rsidR="00A41D8F" w:rsidRPr="00064710" w:rsidRDefault="00A41D8F" w:rsidP="00F57898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990973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70C7524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092A25E7" w14:textId="77777777" w:rsidTr="00374675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639" w14:textId="77777777" w:rsidR="00A41D8F" w:rsidRPr="00064710" w:rsidRDefault="00A41D8F" w:rsidP="00F5789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878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C77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5206E5" w14:paraId="64FBAA01" w14:textId="77777777" w:rsidTr="00374675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CCC23" w14:textId="77777777" w:rsidR="007E190B" w:rsidRPr="00B34F12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  <w:r w:rsidRPr="00B34F12">
              <w:rPr>
                <w:rFonts w:ascii="Calibri" w:hAnsi="Calibri"/>
                <w:b/>
                <w:sz w:val="24"/>
                <w:szCs w:val="24"/>
                <w:u w:val="single"/>
              </w:rPr>
              <w:t>Other Requirements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01D8C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84F5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5206E5" w14:paraId="62BFF210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5B5E3FF" w14:textId="77777777" w:rsidR="007E190B" w:rsidRPr="005206E5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DF87C3C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0C2F864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F521EF" w:rsidRPr="005206E5" w14:paraId="3367ABDD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8B63291" w14:textId="77777777" w:rsidR="00F521EF" w:rsidRPr="00936C80" w:rsidRDefault="00F521EF" w:rsidP="00136A11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>Willing to undertake required training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0BECDF4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  <w:r w:rsidRPr="00936C80">
              <w:rPr>
                <w:rFonts w:ascii="Calibri" w:hAnsi="Calibri"/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2EFC50F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  <w:r w:rsidRPr="00936C80">
              <w:rPr>
                <w:rFonts w:ascii="Calibri" w:hAnsi="Calibri"/>
                <w:lang w:eastAsia="en-GB"/>
              </w:rPr>
              <w:t>√</w:t>
            </w:r>
          </w:p>
        </w:tc>
      </w:tr>
      <w:tr w:rsidR="00F521EF" w:rsidRPr="005206E5" w14:paraId="712DDD05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B391358" w14:textId="77777777" w:rsidR="00F521EF" w:rsidRPr="005206E5" w:rsidRDefault="00F521EF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7A7CED4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BB67186" w14:textId="77777777" w:rsidR="00F521EF" w:rsidRPr="005206E5" w:rsidRDefault="00F521EF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F521EF" w:rsidRPr="005206E5" w14:paraId="16C12BFE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78503A1" w14:textId="77777777" w:rsidR="00F521EF" w:rsidRPr="00F521EF" w:rsidRDefault="00F521EF" w:rsidP="004F568F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 xml:space="preserve">A full driving license with use of a car </w:t>
            </w:r>
            <w:proofErr w:type="gramStart"/>
            <w:r w:rsidRPr="00936C80">
              <w:rPr>
                <w:lang w:eastAsia="en-GB"/>
              </w:rPr>
              <w:t>on a daily basis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4E8DFE1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  <w:r w:rsidRPr="00936C80">
              <w:rPr>
                <w:rFonts w:ascii="Calibri" w:hAnsi="Calibri"/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4E16A8B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  <w:r w:rsidRPr="00936C80">
              <w:rPr>
                <w:rFonts w:ascii="Calibri" w:hAnsi="Calibri"/>
                <w:lang w:eastAsia="en-GB"/>
              </w:rPr>
              <w:t>√</w:t>
            </w:r>
          </w:p>
        </w:tc>
      </w:tr>
      <w:tr w:rsidR="00F521EF" w:rsidRPr="005206E5" w14:paraId="33CE9382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BC16C6B" w14:textId="77777777" w:rsidR="00F521EF" w:rsidRPr="005206E5" w:rsidRDefault="00F521EF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6900BE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54E3185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1EF" w:rsidRPr="005206E5" w14:paraId="712CAA3C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6FDB40D" w14:textId="77777777" w:rsidR="00F521EF" w:rsidRPr="00F521EF" w:rsidRDefault="00F521EF" w:rsidP="00F521EF">
            <w:pPr>
              <w:rPr>
                <w:lang w:eastAsia="en-GB"/>
              </w:rPr>
            </w:pPr>
            <w:r>
              <w:rPr>
                <w:lang w:eastAsia="en-GB"/>
              </w:rPr>
              <w:t>Enhanced DBS clearance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DF117B0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  <w:r w:rsidRPr="00936C80">
              <w:rPr>
                <w:rFonts w:ascii="Calibri" w:hAnsi="Calibri"/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52680EC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  <w:r w:rsidRPr="00936C80">
              <w:rPr>
                <w:rFonts w:ascii="Calibri" w:hAnsi="Calibri"/>
                <w:lang w:eastAsia="en-GB"/>
              </w:rPr>
              <w:t>√</w:t>
            </w:r>
          </w:p>
        </w:tc>
      </w:tr>
      <w:tr w:rsidR="00F521EF" w:rsidRPr="005206E5" w14:paraId="6BBC9307" w14:textId="77777777" w:rsidTr="00374675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B18" w14:textId="77777777" w:rsidR="00F521EF" w:rsidRPr="005206E5" w:rsidRDefault="00F521EF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95C1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561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1EF" w:rsidRPr="005206E5" w14:paraId="04917804" w14:textId="77777777" w:rsidTr="00374675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156C0" w14:textId="0D5A19C6" w:rsidR="00F521EF" w:rsidRPr="00B34F12" w:rsidRDefault="00F521EF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B34F12">
              <w:rPr>
                <w:rFonts w:ascii="Calibri" w:hAnsi="Calibri"/>
                <w:b/>
                <w:sz w:val="24"/>
                <w:szCs w:val="24"/>
                <w:u w:val="single"/>
              </w:rPr>
              <w:t>Desirable Other Requirements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9CA1B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B5D28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1EF" w:rsidRPr="005206E5" w14:paraId="6BB5E292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BB5D292" w14:textId="77777777" w:rsidR="00F521EF" w:rsidRPr="005206E5" w:rsidRDefault="00F521EF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95C0FD1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BD7AA88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1EF" w:rsidRPr="005206E5" w14:paraId="1D0DBC8E" w14:textId="77777777" w:rsidTr="00374675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BC1D999" w14:textId="77777777" w:rsidR="00F521EF" w:rsidRPr="00F521EF" w:rsidRDefault="00F521EF" w:rsidP="004F568F">
            <w:pPr>
              <w:rPr>
                <w:lang w:eastAsia="en-GB"/>
              </w:rPr>
            </w:pPr>
            <w:r w:rsidRPr="00936C80">
              <w:rPr>
                <w:lang w:eastAsia="en-GB"/>
              </w:rPr>
              <w:t>Able to provide out of hours support in the event of a borough emergency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C5A56A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  <w:r w:rsidRPr="00936C80">
              <w:rPr>
                <w:rFonts w:ascii="Calibri" w:hAnsi="Calibri"/>
                <w:lang w:eastAsia="en-GB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7679D63" w14:textId="77777777" w:rsidR="00F521EF" w:rsidRPr="005206E5" w:rsidRDefault="00F521EF" w:rsidP="004F568F">
            <w:pPr>
              <w:jc w:val="center"/>
              <w:rPr>
                <w:rFonts w:ascii="Arial" w:hAnsi="Arial" w:cs="Arial"/>
                <w:b/>
              </w:rPr>
            </w:pPr>
            <w:r w:rsidRPr="00936C80">
              <w:rPr>
                <w:rFonts w:ascii="Calibri" w:hAnsi="Calibri"/>
                <w:lang w:eastAsia="en-GB"/>
              </w:rPr>
              <w:t>√</w:t>
            </w:r>
          </w:p>
        </w:tc>
      </w:tr>
      <w:tr w:rsidR="00F521EF" w:rsidRPr="005206E5" w14:paraId="7A0D2153" w14:textId="77777777" w:rsidTr="00374675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20B" w14:textId="77777777" w:rsidR="00F521EF" w:rsidRPr="005206E5" w:rsidRDefault="00F521EF" w:rsidP="004F568F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6B26" w14:textId="77777777" w:rsidR="00F521EF" w:rsidRPr="005206E5" w:rsidRDefault="00F521EF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71C3" w14:textId="77777777" w:rsidR="00F521EF" w:rsidRPr="005206E5" w:rsidRDefault="00F521EF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</w:tbl>
    <w:p w14:paraId="64C46509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sectPr w:rsidR="007E190B" w:rsidSect="00101D42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54D65"/>
    <w:multiLevelType w:val="hybridMultilevel"/>
    <w:tmpl w:val="A8762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54090"/>
    <w:multiLevelType w:val="hybridMultilevel"/>
    <w:tmpl w:val="07B64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EF6295"/>
    <w:multiLevelType w:val="hybridMultilevel"/>
    <w:tmpl w:val="AA6A1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74346">
    <w:abstractNumId w:val="18"/>
  </w:num>
  <w:num w:numId="2" w16cid:durableId="1704668072">
    <w:abstractNumId w:val="6"/>
  </w:num>
  <w:num w:numId="3" w16cid:durableId="1210074562">
    <w:abstractNumId w:val="7"/>
  </w:num>
  <w:num w:numId="4" w16cid:durableId="1206453929">
    <w:abstractNumId w:val="10"/>
  </w:num>
  <w:num w:numId="5" w16cid:durableId="1271352690">
    <w:abstractNumId w:val="11"/>
  </w:num>
  <w:num w:numId="6" w16cid:durableId="1980761046">
    <w:abstractNumId w:val="2"/>
  </w:num>
  <w:num w:numId="7" w16cid:durableId="740491358">
    <w:abstractNumId w:val="13"/>
  </w:num>
  <w:num w:numId="8" w16cid:durableId="368647805">
    <w:abstractNumId w:val="8"/>
  </w:num>
  <w:num w:numId="9" w16cid:durableId="2049641810">
    <w:abstractNumId w:val="4"/>
  </w:num>
  <w:num w:numId="10" w16cid:durableId="1151630479">
    <w:abstractNumId w:val="5"/>
  </w:num>
  <w:num w:numId="11" w16cid:durableId="952638408">
    <w:abstractNumId w:val="9"/>
  </w:num>
  <w:num w:numId="12" w16cid:durableId="1406562864">
    <w:abstractNumId w:val="0"/>
  </w:num>
  <w:num w:numId="13" w16cid:durableId="1086194377">
    <w:abstractNumId w:val="1"/>
  </w:num>
  <w:num w:numId="14" w16cid:durableId="845480737">
    <w:abstractNumId w:val="15"/>
  </w:num>
  <w:num w:numId="15" w16cid:durableId="1870604935">
    <w:abstractNumId w:val="3"/>
  </w:num>
  <w:num w:numId="16" w16cid:durableId="1855873467">
    <w:abstractNumId w:val="14"/>
  </w:num>
  <w:num w:numId="17" w16cid:durableId="2131631618">
    <w:abstractNumId w:val="17"/>
  </w:num>
  <w:num w:numId="18" w16cid:durableId="491138323">
    <w:abstractNumId w:val="16"/>
  </w:num>
  <w:num w:numId="19" w16cid:durableId="9038770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C6"/>
    <w:rsid w:val="00002249"/>
    <w:rsid w:val="000514DC"/>
    <w:rsid w:val="00064710"/>
    <w:rsid w:val="00067CE2"/>
    <w:rsid w:val="00087E54"/>
    <w:rsid w:val="0009708B"/>
    <w:rsid w:val="000C4CFC"/>
    <w:rsid w:val="000D1E1A"/>
    <w:rsid w:val="000D28A9"/>
    <w:rsid w:val="000D4711"/>
    <w:rsid w:val="000D5B68"/>
    <w:rsid w:val="000E18CF"/>
    <w:rsid w:val="000E1D46"/>
    <w:rsid w:val="000E20ED"/>
    <w:rsid w:val="00101D42"/>
    <w:rsid w:val="001141E3"/>
    <w:rsid w:val="0012137D"/>
    <w:rsid w:val="001272A4"/>
    <w:rsid w:val="00162F2E"/>
    <w:rsid w:val="001B7F00"/>
    <w:rsid w:val="001C3A99"/>
    <w:rsid w:val="001E68F0"/>
    <w:rsid w:val="001F0087"/>
    <w:rsid w:val="001F3B41"/>
    <w:rsid w:val="00222839"/>
    <w:rsid w:val="00233F63"/>
    <w:rsid w:val="00240FE6"/>
    <w:rsid w:val="00243F02"/>
    <w:rsid w:val="002604C4"/>
    <w:rsid w:val="00297278"/>
    <w:rsid w:val="002A230F"/>
    <w:rsid w:val="002A237A"/>
    <w:rsid w:val="002A3D98"/>
    <w:rsid w:val="002C2277"/>
    <w:rsid w:val="003033B7"/>
    <w:rsid w:val="00330245"/>
    <w:rsid w:val="003319D3"/>
    <w:rsid w:val="003350D8"/>
    <w:rsid w:val="003452F7"/>
    <w:rsid w:val="003523E8"/>
    <w:rsid w:val="0035491B"/>
    <w:rsid w:val="0036452C"/>
    <w:rsid w:val="003661B7"/>
    <w:rsid w:val="00374675"/>
    <w:rsid w:val="00395718"/>
    <w:rsid w:val="003A37CA"/>
    <w:rsid w:val="003A74F0"/>
    <w:rsid w:val="003A78C0"/>
    <w:rsid w:val="003B7652"/>
    <w:rsid w:val="003C1440"/>
    <w:rsid w:val="003D3EE8"/>
    <w:rsid w:val="003E179B"/>
    <w:rsid w:val="003E35AA"/>
    <w:rsid w:val="00407AC6"/>
    <w:rsid w:val="0041133A"/>
    <w:rsid w:val="00412B81"/>
    <w:rsid w:val="0043252E"/>
    <w:rsid w:val="004460FD"/>
    <w:rsid w:val="00467516"/>
    <w:rsid w:val="004A1F7B"/>
    <w:rsid w:val="004B3A80"/>
    <w:rsid w:val="004B3AC6"/>
    <w:rsid w:val="004B739D"/>
    <w:rsid w:val="004C1EB0"/>
    <w:rsid w:val="004C3C41"/>
    <w:rsid w:val="004D1396"/>
    <w:rsid w:val="004D70BE"/>
    <w:rsid w:val="004F42E6"/>
    <w:rsid w:val="004F6A1B"/>
    <w:rsid w:val="005054FA"/>
    <w:rsid w:val="005206E5"/>
    <w:rsid w:val="00530C8F"/>
    <w:rsid w:val="00550AA0"/>
    <w:rsid w:val="00552241"/>
    <w:rsid w:val="00561C75"/>
    <w:rsid w:val="00575966"/>
    <w:rsid w:val="005C2551"/>
    <w:rsid w:val="005C760B"/>
    <w:rsid w:val="0060798D"/>
    <w:rsid w:val="00612374"/>
    <w:rsid w:val="00615D9C"/>
    <w:rsid w:val="006379DA"/>
    <w:rsid w:val="00652EA8"/>
    <w:rsid w:val="00655577"/>
    <w:rsid w:val="0065587C"/>
    <w:rsid w:val="0065720B"/>
    <w:rsid w:val="00663476"/>
    <w:rsid w:val="00665E3B"/>
    <w:rsid w:val="006747EC"/>
    <w:rsid w:val="00680DC5"/>
    <w:rsid w:val="006A55A0"/>
    <w:rsid w:val="006C3165"/>
    <w:rsid w:val="006E685A"/>
    <w:rsid w:val="00717F5A"/>
    <w:rsid w:val="007474BC"/>
    <w:rsid w:val="00751DA2"/>
    <w:rsid w:val="007648E6"/>
    <w:rsid w:val="007660AC"/>
    <w:rsid w:val="00790899"/>
    <w:rsid w:val="007A16D2"/>
    <w:rsid w:val="007A2B57"/>
    <w:rsid w:val="007A3EB8"/>
    <w:rsid w:val="007B7C3F"/>
    <w:rsid w:val="007E115B"/>
    <w:rsid w:val="007E190B"/>
    <w:rsid w:val="007E39B2"/>
    <w:rsid w:val="007F2386"/>
    <w:rsid w:val="007F5A39"/>
    <w:rsid w:val="00826388"/>
    <w:rsid w:val="0085148D"/>
    <w:rsid w:val="00866A7B"/>
    <w:rsid w:val="00876ED2"/>
    <w:rsid w:val="00881D94"/>
    <w:rsid w:val="00896B19"/>
    <w:rsid w:val="008E2396"/>
    <w:rsid w:val="00932D21"/>
    <w:rsid w:val="009464D9"/>
    <w:rsid w:val="009925C1"/>
    <w:rsid w:val="00992BDD"/>
    <w:rsid w:val="009C016C"/>
    <w:rsid w:val="009E4321"/>
    <w:rsid w:val="009F5BE4"/>
    <w:rsid w:val="00A00A64"/>
    <w:rsid w:val="00A355BA"/>
    <w:rsid w:val="00A41D8F"/>
    <w:rsid w:val="00A45974"/>
    <w:rsid w:val="00A84133"/>
    <w:rsid w:val="00AA7176"/>
    <w:rsid w:val="00AD6979"/>
    <w:rsid w:val="00AF1626"/>
    <w:rsid w:val="00AF210E"/>
    <w:rsid w:val="00B117A6"/>
    <w:rsid w:val="00B16E40"/>
    <w:rsid w:val="00B2795F"/>
    <w:rsid w:val="00B33A53"/>
    <w:rsid w:val="00B34F12"/>
    <w:rsid w:val="00B377CA"/>
    <w:rsid w:val="00B51552"/>
    <w:rsid w:val="00B6508A"/>
    <w:rsid w:val="00B9402C"/>
    <w:rsid w:val="00BB6AA8"/>
    <w:rsid w:val="00BE6D62"/>
    <w:rsid w:val="00C11592"/>
    <w:rsid w:val="00C1541A"/>
    <w:rsid w:val="00C17476"/>
    <w:rsid w:val="00C214CB"/>
    <w:rsid w:val="00C225C1"/>
    <w:rsid w:val="00C24412"/>
    <w:rsid w:val="00C25C97"/>
    <w:rsid w:val="00C36532"/>
    <w:rsid w:val="00C52461"/>
    <w:rsid w:val="00C54228"/>
    <w:rsid w:val="00C816ED"/>
    <w:rsid w:val="00CA4F36"/>
    <w:rsid w:val="00CC0E72"/>
    <w:rsid w:val="00CD6FB5"/>
    <w:rsid w:val="00CE6A3B"/>
    <w:rsid w:val="00D008E8"/>
    <w:rsid w:val="00D04F1A"/>
    <w:rsid w:val="00D42365"/>
    <w:rsid w:val="00D50589"/>
    <w:rsid w:val="00D52274"/>
    <w:rsid w:val="00D624C7"/>
    <w:rsid w:val="00D73AD8"/>
    <w:rsid w:val="00DA226C"/>
    <w:rsid w:val="00DB13CC"/>
    <w:rsid w:val="00DC5132"/>
    <w:rsid w:val="00DD342F"/>
    <w:rsid w:val="00DE2C1C"/>
    <w:rsid w:val="00E01078"/>
    <w:rsid w:val="00E15AE3"/>
    <w:rsid w:val="00E51DF8"/>
    <w:rsid w:val="00E60FCB"/>
    <w:rsid w:val="00E93F68"/>
    <w:rsid w:val="00ED5B54"/>
    <w:rsid w:val="00EE3257"/>
    <w:rsid w:val="00F2068A"/>
    <w:rsid w:val="00F20C62"/>
    <w:rsid w:val="00F24FDA"/>
    <w:rsid w:val="00F33F7D"/>
    <w:rsid w:val="00F37F9E"/>
    <w:rsid w:val="00F521EF"/>
    <w:rsid w:val="00F74885"/>
    <w:rsid w:val="00FA018D"/>
    <w:rsid w:val="00FA646C"/>
    <w:rsid w:val="00FC15EC"/>
    <w:rsid w:val="00FC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D108"/>
  <w15:docId w15:val="{C5CCE7EB-6B2D-4AFE-BF97-47E47070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A45974"/>
    <w:pPr>
      <w:spacing w:after="0" w:line="320" w:lineRule="exact"/>
      <w:ind w:left="2552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45974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EDA9-F032-42AF-BB14-24FB58A5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Rupnik-Swindell</dc:creator>
  <cp:lastModifiedBy>Jill Moody</cp:lastModifiedBy>
  <cp:revision>80</cp:revision>
  <dcterms:created xsi:type="dcterms:W3CDTF">2022-09-02T14:30:00Z</dcterms:created>
  <dcterms:modified xsi:type="dcterms:W3CDTF">2022-09-23T11:25:00Z</dcterms:modified>
</cp:coreProperties>
</file>